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467E6602"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#10</w:t>
      </w:r>
      <w:r w:rsidR="00F1475B">
        <w:rPr>
          <w:bCs/>
          <w:noProof w:val="0"/>
          <w:sz w:val="24"/>
          <w:szCs w:val="24"/>
        </w:rPr>
        <w:t>7</w:t>
      </w:r>
      <w:r w:rsidR="00EC3144">
        <w:rPr>
          <w:bCs/>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9</w:t>
      </w:r>
      <w:r w:rsidR="006B701D">
        <w:rPr>
          <w:bCs/>
          <w:noProof w:val="0"/>
          <w:sz w:val="24"/>
          <w:szCs w:val="24"/>
        </w:rPr>
        <w:t>13149</w:t>
      </w:r>
    </w:p>
    <w:p w14:paraId="11776FA6" w14:textId="6232DA42" w:rsidR="00A209D6" w:rsidRPr="00465587" w:rsidRDefault="00EC3144" w:rsidP="00A209D6">
      <w:pPr>
        <w:pStyle w:val="Header"/>
        <w:tabs>
          <w:tab w:val="right" w:pos="9639"/>
        </w:tabs>
        <w:rPr>
          <w:bCs/>
          <w:sz w:val="24"/>
          <w:szCs w:val="24"/>
          <w:lang w:eastAsia="zh-CN"/>
        </w:rPr>
      </w:pPr>
      <w:r>
        <w:rPr>
          <w:bCs/>
          <w:sz w:val="24"/>
          <w:szCs w:val="24"/>
          <w:lang w:eastAsia="zh-CN"/>
        </w:rPr>
        <w:t>Chongqing</w:t>
      </w:r>
      <w:r w:rsidR="00F036E9" w:rsidRPr="00F036E9">
        <w:rPr>
          <w:bCs/>
          <w:sz w:val="24"/>
          <w:szCs w:val="24"/>
          <w:lang w:eastAsia="zh-CN"/>
        </w:rPr>
        <w:t xml:space="preserve">, </w:t>
      </w:r>
      <w:r>
        <w:rPr>
          <w:bCs/>
          <w:sz w:val="24"/>
          <w:szCs w:val="24"/>
          <w:lang w:eastAsia="zh-CN"/>
        </w:rPr>
        <w:t>China</w:t>
      </w:r>
      <w:r w:rsidR="00F036E9" w:rsidRPr="00F036E9">
        <w:rPr>
          <w:bCs/>
          <w:sz w:val="24"/>
          <w:szCs w:val="24"/>
          <w:lang w:eastAsia="zh-CN"/>
        </w:rPr>
        <w:t xml:space="preserve">, </w:t>
      </w:r>
      <w:r>
        <w:rPr>
          <w:bCs/>
          <w:sz w:val="24"/>
          <w:szCs w:val="24"/>
          <w:lang w:eastAsia="zh-CN"/>
        </w:rPr>
        <w:t>14</w:t>
      </w:r>
      <w:r w:rsidR="00F036E9" w:rsidRPr="00F036E9">
        <w:rPr>
          <w:bCs/>
          <w:sz w:val="24"/>
          <w:szCs w:val="24"/>
          <w:lang w:eastAsia="zh-CN"/>
        </w:rPr>
        <w:t xml:space="preserve"> – </w:t>
      </w:r>
      <w:r>
        <w:rPr>
          <w:bCs/>
          <w:sz w:val="24"/>
          <w:szCs w:val="24"/>
          <w:lang w:eastAsia="zh-CN"/>
        </w:rPr>
        <w:t>18</w:t>
      </w:r>
      <w:r w:rsidR="00AD453E">
        <w:rPr>
          <w:bCs/>
          <w:sz w:val="24"/>
          <w:szCs w:val="24"/>
          <w:lang w:eastAsia="zh-CN"/>
        </w:rPr>
        <w:t xml:space="preserve"> </w:t>
      </w:r>
      <w:r>
        <w:rPr>
          <w:bCs/>
          <w:sz w:val="24"/>
          <w:szCs w:val="24"/>
          <w:lang w:eastAsia="zh-CN"/>
        </w:rPr>
        <w:t>October</w:t>
      </w:r>
      <w:r w:rsidR="00F036E9" w:rsidRPr="00F036E9">
        <w:rPr>
          <w:bCs/>
          <w:sz w:val="24"/>
          <w:szCs w:val="24"/>
          <w:lang w:eastAsia="zh-CN"/>
        </w:rPr>
        <w:t xml:space="preserve"> 2019</w:t>
      </w:r>
      <w:r w:rsidR="00A209D6">
        <w:rPr>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CDEBF69"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A365B3">
        <w:rPr>
          <w:rFonts w:cs="Arial"/>
          <w:b/>
          <w:bCs/>
          <w:sz w:val="24"/>
          <w:lang w:eastAsia="ja-JP"/>
        </w:rPr>
        <w:t>6.4.5</w:t>
      </w:r>
    </w:p>
    <w:p w14:paraId="73188B46" w14:textId="6D29CFBB" w:rsidR="00A209D6" w:rsidRPr="00A65E60" w:rsidRDefault="00A209D6">
      <w:pPr>
        <w:tabs>
          <w:tab w:val="left" w:pos="1985"/>
        </w:tabs>
        <w:ind w:left="1985" w:hanging="1985"/>
        <w:rPr>
          <w:rFonts w:ascii="Arial" w:hAnsi="Arial" w:cs="Arial"/>
          <w:b/>
          <w:bCs/>
          <w:sz w:val="24"/>
          <w:szCs w:val="24"/>
        </w:rPr>
      </w:pPr>
      <w:r w:rsidRPr="00692182">
        <w:rPr>
          <w:rFonts w:ascii="Arial" w:hAnsi="Arial" w:cs="Arial"/>
          <w:b/>
          <w:bCs/>
          <w:sz w:val="24"/>
          <w:szCs w:val="24"/>
        </w:rPr>
        <w:t>Source:</w:t>
      </w:r>
      <w:r w:rsidR="4ED98CE3" w:rsidRPr="00692182">
        <w:rPr>
          <w:rFonts w:ascii="Arial" w:hAnsi="Arial" w:cs="Arial"/>
          <w:b/>
          <w:bCs/>
          <w:sz w:val="24"/>
          <w:szCs w:val="24"/>
        </w:rPr>
        <w:t xml:space="preserve"> </w:t>
      </w:r>
      <w:r w:rsidRPr="00B266B0">
        <w:rPr>
          <w:rFonts w:ascii="Arial" w:hAnsi="Arial" w:cs="Arial"/>
          <w:b/>
          <w:bCs/>
          <w:sz w:val="24"/>
        </w:rPr>
        <w:tab/>
      </w:r>
      <w:r w:rsidRPr="00890E91">
        <w:rPr>
          <w:rFonts w:ascii="Arial" w:hAnsi="Arial" w:cs="Arial"/>
          <w:b/>
          <w:bCs/>
          <w:sz w:val="24"/>
          <w:szCs w:val="24"/>
        </w:rPr>
        <w:t>Nokia, Nokia Shanghai Bell</w:t>
      </w:r>
    </w:p>
    <w:p w14:paraId="0FA3EF00" w14:textId="04941C37" w:rsidR="00A209D6" w:rsidRPr="00A65E60" w:rsidRDefault="00A209D6">
      <w:pPr>
        <w:ind w:left="1985" w:hanging="1985"/>
        <w:rPr>
          <w:rFonts w:ascii="Arial" w:hAnsi="Arial" w:cs="Arial"/>
          <w:b/>
          <w:bCs/>
          <w:sz w:val="24"/>
          <w:szCs w:val="24"/>
        </w:rPr>
      </w:pPr>
      <w:r w:rsidRPr="00890E91">
        <w:rPr>
          <w:rFonts w:ascii="Arial" w:hAnsi="Arial" w:cs="Arial"/>
          <w:b/>
          <w:bCs/>
          <w:sz w:val="24"/>
          <w:szCs w:val="24"/>
        </w:rPr>
        <w:t>Title:</w:t>
      </w:r>
      <w:r w:rsidR="111497B6" w:rsidRPr="00890E91">
        <w:rPr>
          <w:rFonts w:ascii="Arial" w:hAnsi="Arial" w:cs="Arial"/>
          <w:b/>
          <w:bCs/>
          <w:sz w:val="24"/>
          <w:szCs w:val="24"/>
        </w:rPr>
        <w:t xml:space="preserve"> </w:t>
      </w:r>
      <w:r w:rsidRPr="00B266B0">
        <w:rPr>
          <w:rFonts w:ascii="Arial" w:hAnsi="Arial" w:cs="Arial"/>
          <w:b/>
          <w:bCs/>
          <w:sz w:val="24"/>
        </w:rPr>
        <w:tab/>
      </w:r>
      <w:r w:rsidR="009003AF" w:rsidRPr="009003AF">
        <w:rPr>
          <w:rFonts w:ascii="Arial" w:hAnsi="Arial" w:cs="Arial"/>
          <w:b/>
          <w:bCs/>
          <w:sz w:val="24"/>
          <w:szCs w:val="24"/>
        </w:rPr>
        <w:t>On PC5 capability transfer and link management</w:t>
      </w:r>
    </w:p>
    <w:p w14:paraId="1F147C23" w14:textId="4B23640C"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074875" w:rsidRPr="00074875">
        <w:rPr>
          <w:rFonts w:ascii="Arial" w:hAnsi="Arial" w:cs="Arial"/>
          <w:b/>
          <w:bCs/>
          <w:sz w:val="24"/>
        </w:rPr>
        <w:t>5G_V2X_NRSL-Core</w:t>
      </w:r>
      <w:r w:rsidR="00F1475B" w:rsidRPr="00F1475B">
        <w:rPr>
          <w:rFonts w:ascii="Arial" w:hAnsi="Arial" w:cs="Arial"/>
          <w:b/>
          <w:bCs/>
          <w:sz w:val="24"/>
        </w:rPr>
        <w:t xml:space="preserve"> </w:t>
      </w:r>
      <w:r>
        <w:rPr>
          <w:rFonts w:ascii="Arial" w:hAnsi="Arial" w:cs="Arial"/>
          <w:b/>
          <w:bCs/>
          <w:sz w:val="24"/>
        </w:rPr>
        <w:t xml:space="preserve">- Release </w:t>
      </w:r>
      <w:r w:rsidR="00F1475B">
        <w:rPr>
          <w:rFonts w:ascii="Arial" w:hAnsi="Arial" w:cs="Arial"/>
          <w:b/>
          <w:bCs/>
          <w:sz w:val="24"/>
        </w:rPr>
        <w:t>16</w:t>
      </w:r>
    </w:p>
    <w:p w14:paraId="6FEB19D6" w14:textId="517869BB" w:rsidR="00A209D6" w:rsidRPr="00A65E60" w:rsidRDefault="00A209D6">
      <w:pPr>
        <w:tabs>
          <w:tab w:val="left" w:pos="1985"/>
        </w:tabs>
        <w:rPr>
          <w:rFonts w:ascii="Arial" w:hAnsi="Arial" w:cs="Arial"/>
          <w:b/>
          <w:bCs/>
          <w:sz w:val="24"/>
          <w:szCs w:val="24"/>
        </w:rPr>
      </w:pPr>
      <w:r w:rsidRPr="00890E91">
        <w:rPr>
          <w:rFonts w:ascii="Arial" w:hAnsi="Arial" w:cs="Arial"/>
          <w:b/>
          <w:bCs/>
          <w:sz w:val="24"/>
          <w:szCs w:val="24"/>
        </w:rPr>
        <w:t>Document for:</w:t>
      </w:r>
      <w:r w:rsidR="111497B6" w:rsidRPr="00A65E60">
        <w:rPr>
          <w:rFonts w:ascii="Arial" w:hAnsi="Arial" w:cs="Arial"/>
          <w:b/>
          <w:bCs/>
          <w:sz w:val="24"/>
          <w:szCs w:val="24"/>
        </w:rPr>
        <w:t xml:space="preserve"> </w:t>
      </w:r>
      <w:r w:rsidRPr="00B266B0">
        <w:rPr>
          <w:rFonts w:ascii="Arial" w:hAnsi="Arial" w:cs="Arial"/>
          <w:b/>
          <w:bCs/>
          <w:sz w:val="24"/>
        </w:rPr>
        <w:tab/>
      </w:r>
      <w:r w:rsidRPr="00890E91">
        <w:rPr>
          <w:rFonts w:ascii="Arial" w:hAnsi="Arial" w:cs="Arial"/>
          <w:b/>
          <w:bCs/>
          <w:sz w:val="24"/>
          <w:szCs w:val="24"/>
        </w:rPr>
        <w:t>Discussion and Decision</w:t>
      </w:r>
    </w:p>
    <w:p w14:paraId="294B1FC1" w14:textId="77777777" w:rsidR="00A209D6" w:rsidRPr="006E13D1" w:rsidRDefault="00A209D6" w:rsidP="00A209D6">
      <w:pPr>
        <w:pStyle w:val="Heading1"/>
      </w:pPr>
      <w:r w:rsidRPr="006E13D1">
        <w:t>1</w:t>
      </w:r>
      <w:r w:rsidRPr="006E13D1">
        <w:tab/>
      </w:r>
      <w:r>
        <w:t>Introduction</w:t>
      </w:r>
    </w:p>
    <w:p w14:paraId="31EC6E66" w14:textId="410B10A5" w:rsidR="007F2E08" w:rsidRPr="006E13D1" w:rsidRDefault="00435479" w:rsidP="00BB6EDD">
      <w:pPr>
        <w:jc w:val="both"/>
      </w:pPr>
      <w:r>
        <w:t xml:space="preserve">This </w:t>
      </w:r>
      <w:proofErr w:type="spellStart"/>
      <w:r>
        <w:t>TDoc</w:t>
      </w:r>
      <w:proofErr w:type="spellEnd"/>
      <w:r>
        <w:t xml:space="preserve"> discusses the issues related to PC5 UE capability transfer as well </w:t>
      </w:r>
      <w:r w:rsidR="00FF2540">
        <w:t>as IS/OOS based RLM/RLF detection</w:t>
      </w:r>
      <w:r w:rsidR="00A365B3">
        <w:t xml:space="preserve"> for NR Sidelink</w:t>
      </w:r>
      <w:r w:rsidR="00FF2540">
        <w:t>.</w:t>
      </w:r>
    </w:p>
    <w:p w14:paraId="2BBFF540" w14:textId="7D885B87" w:rsidR="00A209D6" w:rsidRPr="006E13D1" w:rsidRDefault="00A209D6" w:rsidP="00A209D6">
      <w:pPr>
        <w:pStyle w:val="Heading1"/>
      </w:pPr>
      <w:r w:rsidRPr="006E13D1">
        <w:t>2</w:t>
      </w:r>
      <w:r w:rsidRPr="006E13D1">
        <w:tab/>
      </w:r>
      <w:r w:rsidR="00B61B92">
        <w:t>Discussion</w:t>
      </w:r>
    </w:p>
    <w:p w14:paraId="48059D65" w14:textId="48387FC6" w:rsidR="00FF2540" w:rsidRDefault="00FF2540" w:rsidP="00FF2540">
      <w:pPr>
        <w:pStyle w:val="Heading2"/>
      </w:pPr>
      <w:r>
        <w:t>2.1 PC5 UE Capability Transfer using one-way or two-way procedure</w:t>
      </w:r>
    </w:p>
    <w:p w14:paraId="6E9B7EF0" w14:textId="673A70C8" w:rsidR="00092808" w:rsidRDefault="00092808" w:rsidP="00092808">
      <w:pPr>
        <w:jc w:val="both"/>
      </w:pPr>
      <w:r>
        <w:t>During RAN2</w:t>
      </w:r>
      <w:r>
        <w:rPr>
          <w:lang w:val="pl-PL"/>
        </w:rPr>
        <w:t xml:space="preserve">#106 the </w:t>
      </w:r>
      <w:r w:rsidRPr="00365AAF">
        <w:t xml:space="preserve">following </w:t>
      </w:r>
      <w:r>
        <w:t xml:space="preserve">working assumption has been taken </w:t>
      </w:r>
      <w:r>
        <w:fldChar w:fldCharType="begin"/>
      </w:r>
      <w:r>
        <w:instrText xml:space="preserve"> REF _Ref12434618 \r \h  \* MERGEFORMAT </w:instrText>
      </w:r>
      <w:r>
        <w:fldChar w:fldCharType="separate"/>
      </w:r>
      <w:r>
        <w:t>[1]</w:t>
      </w:r>
      <w:r>
        <w:fldChar w:fldCharType="end"/>
      </w:r>
      <w:r>
        <w:t xml:space="preserve"> concerning PC5 capability transfer:</w:t>
      </w:r>
    </w:p>
    <w:tbl>
      <w:tblPr>
        <w:tblStyle w:val="TableGrid"/>
        <w:tblW w:w="0" w:type="auto"/>
        <w:tblLook w:val="04A0" w:firstRow="1" w:lastRow="0" w:firstColumn="1" w:lastColumn="0" w:noHBand="0" w:noVBand="1"/>
      </w:tblPr>
      <w:tblGrid>
        <w:gridCol w:w="9631"/>
      </w:tblGrid>
      <w:tr w:rsidR="00092808" w14:paraId="65864444" w14:textId="77777777" w:rsidTr="00C91DD9">
        <w:tc>
          <w:tcPr>
            <w:tcW w:w="9631" w:type="dxa"/>
          </w:tcPr>
          <w:p w14:paraId="5E61B5BF" w14:textId="77777777" w:rsidR="00092808" w:rsidRDefault="00092808" w:rsidP="00C91DD9">
            <w:pPr>
              <w:jc w:val="both"/>
            </w:pPr>
            <w:r w:rsidRPr="003B1F5F">
              <w:t>2:</w:t>
            </w:r>
            <w:r w:rsidRPr="003B1F5F">
              <w:tab/>
              <w:t xml:space="preserve">Working assumption: both bi-directional one-way procedure and two-way procedure for capability transfer are allowed. FFS on how to support in </w:t>
            </w:r>
            <w:proofErr w:type="gramStart"/>
            <w:r w:rsidRPr="003B1F5F">
              <w:t>details</w:t>
            </w:r>
            <w:proofErr w:type="gramEnd"/>
            <w:r w:rsidRPr="003B1F5F">
              <w:t>.</w:t>
            </w:r>
          </w:p>
        </w:tc>
      </w:tr>
    </w:tbl>
    <w:p w14:paraId="370B1D48" w14:textId="1FD9D3BA" w:rsidR="00C66A22" w:rsidRPr="00D2127C" w:rsidRDefault="0088080A" w:rsidP="00455F30">
      <w:pPr>
        <w:jc w:val="both"/>
      </w:pPr>
      <w:r>
        <w:rPr>
          <w:lang w:eastAsia="zh-CN"/>
        </w:rPr>
        <w:br/>
      </w:r>
      <w:proofErr w:type="gramStart"/>
      <w:r w:rsidR="00C66A22" w:rsidRPr="00D2127C">
        <w:rPr>
          <w:lang w:eastAsia="zh-CN"/>
        </w:rPr>
        <w:t>First of all</w:t>
      </w:r>
      <w:proofErr w:type="gramEnd"/>
      <w:r w:rsidR="00C66A22" w:rsidRPr="00D2127C">
        <w:rPr>
          <w:lang w:eastAsia="zh-CN"/>
        </w:rPr>
        <w:t xml:space="preserve">, the usage of UE capability information in our understanding is to allow Tx UE configuring the SL transmission based on the Rx UE’s capability so that Rx UE is </w:t>
      </w:r>
      <w:r w:rsidR="00D2127C">
        <w:rPr>
          <w:lang w:eastAsia="zh-CN"/>
        </w:rPr>
        <w:t>able to receive</w:t>
      </w:r>
      <w:r w:rsidR="00C66A22" w:rsidRPr="00D2127C">
        <w:rPr>
          <w:lang w:eastAsia="zh-CN"/>
        </w:rPr>
        <w:t xml:space="preserve"> the SL transmission from Tx UE. Th</w:t>
      </w:r>
      <w:r w:rsidR="00D2127C">
        <w:rPr>
          <w:lang w:eastAsia="zh-CN"/>
        </w:rPr>
        <w:t>us</w:t>
      </w:r>
      <w:r w:rsidR="00A65E60">
        <w:rPr>
          <w:lang w:eastAsia="zh-CN"/>
        </w:rPr>
        <w:t>,</w:t>
      </w:r>
      <w:r w:rsidR="00C66A22" w:rsidRPr="00D2127C">
        <w:rPr>
          <w:lang w:eastAsia="zh-CN"/>
        </w:rPr>
        <w:t xml:space="preserve"> the reliability and </w:t>
      </w:r>
      <w:r w:rsidR="00DF3388" w:rsidRPr="00D2127C">
        <w:rPr>
          <w:lang w:eastAsia="zh-CN"/>
        </w:rPr>
        <w:t xml:space="preserve">latency of </w:t>
      </w:r>
      <w:r w:rsidR="00C66A22" w:rsidRPr="00D2127C">
        <w:rPr>
          <w:lang w:eastAsia="zh-CN"/>
        </w:rPr>
        <w:t>deliver</w:t>
      </w:r>
      <w:r w:rsidR="00DF3388" w:rsidRPr="00D2127C">
        <w:rPr>
          <w:lang w:eastAsia="zh-CN"/>
        </w:rPr>
        <w:t>ing</w:t>
      </w:r>
      <w:r w:rsidR="00C66A22" w:rsidRPr="00D2127C">
        <w:rPr>
          <w:lang w:eastAsia="zh-CN"/>
        </w:rPr>
        <w:t xml:space="preserve"> the capability information from Rx UE to Tx UE </w:t>
      </w:r>
      <w:r w:rsidR="00DF3388" w:rsidRPr="00D2127C">
        <w:rPr>
          <w:lang w:eastAsia="zh-CN"/>
        </w:rPr>
        <w:t>is of the equal importance on successful transmission of SL communication message from Tx UE to Rx UE.</w:t>
      </w:r>
    </w:p>
    <w:p w14:paraId="582508F3" w14:textId="73B258F3" w:rsidR="00123A5C" w:rsidRDefault="00873ECE" w:rsidP="00455F30">
      <w:pPr>
        <w:jc w:val="both"/>
      </w:pPr>
      <w:r>
        <w:t xml:space="preserve">The one-way and two-way capability transfer for PC5 unicast UEs has been discussed in </w:t>
      </w:r>
      <w:r w:rsidR="006E26B8">
        <w:fldChar w:fldCharType="begin"/>
      </w:r>
      <w:r w:rsidR="006E26B8">
        <w:instrText xml:space="preserve"> REF _Ref12632661 \r \h </w:instrText>
      </w:r>
      <w:r w:rsidR="006E26B8">
        <w:fldChar w:fldCharType="separate"/>
      </w:r>
      <w:r w:rsidR="006E26B8">
        <w:t>[2]</w:t>
      </w:r>
      <w:r w:rsidR="006E26B8">
        <w:fldChar w:fldCharType="end"/>
      </w:r>
      <w:r w:rsidR="006E26B8">
        <w:t>. In a nutshell, the differences between two</w:t>
      </w:r>
      <w:r w:rsidR="00C1083F">
        <w:t xml:space="preserve"> considered</w:t>
      </w:r>
      <w:r w:rsidR="006E26B8">
        <w:t xml:space="preserve"> approaches are shown in </w:t>
      </w:r>
      <w:r w:rsidR="00DF3388">
        <w:t>Fig. 1 and Fig. 2</w:t>
      </w:r>
      <w:r w:rsidR="006E26B8">
        <w:t>.</w:t>
      </w:r>
    </w:p>
    <w:p w14:paraId="2D2D1E39" w14:textId="77777777" w:rsidR="00181FC7" w:rsidRDefault="00BD49EE" w:rsidP="00181FC7">
      <w:pPr>
        <w:keepNext/>
        <w:jc w:val="center"/>
      </w:pPr>
      <w:r>
        <w:rPr>
          <w:noProof/>
        </w:rPr>
        <w:object w:dxaOrig="3600" w:dyaOrig="2103" w14:anchorId="1922DCE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7" o:spid="_x0000_i1025" type="#_x0000_t75" style="width:180.3pt;height:115.2pt;mso-position-horizontal-relative:page;mso-position-vertical-relative:page" o:ole="">
            <v:imagedata r:id="rId13" o:title="" cropbottom="6478f"/>
          </v:shape>
          <o:OLEObject Type="Embed" ProgID="Mscgen.Chart" ShapeID="对象 7" DrawAspect="Content" ObjectID="_1631625410" r:id="rId14"/>
        </w:object>
      </w:r>
    </w:p>
    <w:p w14:paraId="402CFE41" w14:textId="681EB5BE" w:rsidR="00BD49EE" w:rsidRDefault="00181FC7" w:rsidP="00181FC7">
      <w:pPr>
        <w:pStyle w:val="Caption"/>
        <w:jc w:val="center"/>
      </w:pPr>
      <w:bookmarkStart w:id="0" w:name="_Ref12633179"/>
      <w:r>
        <w:t xml:space="preserve">Fig. </w:t>
      </w:r>
      <w:r w:rsidR="00C10B87">
        <w:rPr>
          <w:noProof/>
        </w:rPr>
        <w:fldChar w:fldCharType="begin"/>
      </w:r>
      <w:r w:rsidR="00C10B87">
        <w:rPr>
          <w:noProof/>
        </w:rPr>
        <w:instrText xml:space="preserve"> SEQ Figure \* ARABIC </w:instrText>
      </w:r>
      <w:r w:rsidR="00C10B87">
        <w:rPr>
          <w:noProof/>
        </w:rPr>
        <w:fldChar w:fldCharType="separate"/>
      </w:r>
      <w:r w:rsidR="002A7790">
        <w:rPr>
          <w:noProof/>
        </w:rPr>
        <w:t>1</w:t>
      </w:r>
      <w:r w:rsidR="00C10B87">
        <w:rPr>
          <w:noProof/>
        </w:rPr>
        <w:fldChar w:fldCharType="end"/>
      </w:r>
      <w:bookmarkEnd w:id="0"/>
      <w:r>
        <w:t>: One-way capability transfer [2]</w:t>
      </w:r>
    </w:p>
    <w:p w14:paraId="3BE3580D" w14:textId="63EDF286" w:rsidR="00BD49EE" w:rsidRDefault="003E2726" w:rsidP="00EF6BF7">
      <w:pPr>
        <w:jc w:val="both"/>
      </w:pPr>
      <w:r>
        <w:fldChar w:fldCharType="begin"/>
      </w:r>
      <w:r>
        <w:instrText xml:space="preserve"> REF _Ref12633179 \h </w:instrText>
      </w:r>
      <w:r w:rsidR="00EF6BF7">
        <w:instrText xml:space="preserve"> \* MERGEFORMAT </w:instrText>
      </w:r>
      <w:r>
        <w:fldChar w:fldCharType="separate"/>
      </w:r>
      <w:r>
        <w:t xml:space="preserve">Fig. </w:t>
      </w:r>
      <w:r>
        <w:rPr>
          <w:noProof/>
        </w:rPr>
        <w:t>1</w:t>
      </w:r>
      <w:r>
        <w:fldChar w:fldCharType="end"/>
      </w:r>
      <w:r>
        <w:t xml:space="preserve"> </w:t>
      </w:r>
      <w:r w:rsidR="00181FC7" w:rsidRPr="00181FC7">
        <w:t>depicts one-way approach</w:t>
      </w:r>
      <w:r w:rsidR="00C1083F">
        <w:t>,</w:t>
      </w:r>
      <w:r w:rsidR="00181FC7" w:rsidRPr="00181FC7">
        <w:t xml:space="preserve"> where no enquiry is sent but the UE1 </w:t>
      </w:r>
      <w:r>
        <w:t>provides</w:t>
      </w:r>
      <w:r w:rsidR="00181FC7" w:rsidRPr="00181FC7">
        <w:t xml:space="preserve"> the entire list of its capabilities to UE2, regardless of whether UE2 is interested </w:t>
      </w:r>
      <w:r>
        <w:t xml:space="preserve">in the whole set or just a part of it </w:t>
      </w:r>
      <w:r w:rsidR="00C1083F">
        <w:t xml:space="preserve">and </w:t>
      </w:r>
      <w:r w:rsidR="00B83309">
        <w:t>regardless</w:t>
      </w:r>
      <w:r w:rsidR="00C1083F">
        <w:t xml:space="preserve"> whether the UE is</w:t>
      </w:r>
      <w:r>
        <w:t xml:space="preserve"> interested at all</w:t>
      </w:r>
      <w:r w:rsidR="00181FC7" w:rsidRPr="00181FC7">
        <w:t>.</w:t>
      </w:r>
      <w:r>
        <w:t xml:space="preserve"> The approach shown in </w:t>
      </w:r>
      <w:r>
        <w:fldChar w:fldCharType="begin"/>
      </w:r>
      <w:r>
        <w:instrText xml:space="preserve"> REF _Ref12633179 \h </w:instrText>
      </w:r>
      <w:r w:rsidR="00EF6BF7">
        <w:instrText xml:space="preserve"> \* MERGEFORMAT </w:instrText>
      </w:r>
      <w:r>
        <w:fldChar w:fldCharType="separate"/>
      </w:r>
      <w:r>
        <w:t xml:space="preserve">Fig. </w:t>
      </w:r>
      <w:r>
        <w:rPr>
          <w:noProof/>
        </w:rPr>
        <w:t>1</w:t>
      </w:r>
      <w:r>
        <w:fldChar w:fldCharType="end"/>
      </w:r>
      <w:r>
        <w:t xml:space="preserve"> is</w:t>
      </w:r>
      <w:r w:rsidR="008303D5">
        <w:t xml:space="preserve"> </w:t>
      </w:r>
      <w:r w:rsidR="00043202">
        <w:t xml:space="preserve">simple </w:t>
      </w:r>
      <w:proofErr w:type="gramStart"/>
      <w:r w:rsidR="00043202">
        <w:t xml:space="preserve">and </w:t>
      </w:r>
      <w:r w:rsidR="00DF3388">
        <w:t>also</w:t>
      </w:r>
      <w:proofErr w:type="gramEnd"/>
      <w:r w:rsidR="00DF3388">
        <w:t xml:space="preserve"> considered more signalling efficient </w:t>
      </w:r>
      <w:r>
        <w:t xml:space="preserve">as it </w:t>
      </w:r>
      <w:r w:rsidR="00DF3388">
        <w:t>only contains one signalling step</w:t>
      </w:r>
      <w:r w:rsidR="00D2127C">
        <w:t>, which</w:t>
      </w:r>
      <w:r>
        <w:t xml:space="preserve"> </w:t>
      </w:r>
      <w:r w:rsidR="00D2127C">
        <w:t xml:space="preserve">also regarded as </w:t>
      </w:r>
      <w:r w:rsidR="00DF3388">
        <w:t>help</w:t>
      </w:r>
      <w:r w:rsidR="00D2127C">
        <w:t>ful</w:t>
      </w:r>
      <w:r w:rsidR="00DF3388">
        <w:t xml:space="preserve"> to reduce the latency [2]. However, when </w:t>
      </w:r>
      <w:proofErr w:type="gramStart"/>
      <w:r w:rsidR="00DF3388">
        <w:t>taking into account</w:t>
      </w:r>
      <w:proofErr w:type="gramEnd"/>
      <w:r w:rsidR="00DF3388">
        <w:t xml:space="preserve"> the reliability/robustness of delivering the UE capability information from </w:t>
      </w:r>
      <w:r w:rsidR="00D94BE5">
        <w:t>e.g. SL Rx</w:t>
      </w:r>
      <w:r w:rsidR="00DF3388">
        <w:t xml:space="preserve"> UE to </w:t>
      </w:r>
      <w:r w:rsidR="00D94BE5">
        <w:t>SL Tx</w:t>
      </w:r>
      <w:r w:rsidR="00DF3388">
        <w:t xml:space="preserve"> UE, </w:t>
      </w:r>
      <w:r w:rsidR="00D94BE5">
        <w:t xml:space="preserve">such one-way approach may not be so signalling efficient and fast as it is discussed in [2]. In one-way approach, there is no confirmation/response message to tell whether the transmitted capability information is correctly received or not. To ensure certain level of reliability on delivering the capability information, the </w:t>
      </w:r>
      <w:r w:rsidR="00D2127C">
        <w:t xml:space="preserve">same capability information </w:t>
      </w:r>
      <w:r w:rsidR="00D94BE5">
        <w:t xml:space="preserve">may need </w:t>
      </w:r>
      <w:r w:rsidR="00D2127C">
        <w:t>to be transmitted several times in one-</w:t>
      </w:r>
      <w:r w:rsidR="00D2127C">
        <w:lastRenderedPageBreak/>
        <w:t>way approach</w:t>
      </w:r>
      <w:r w:rsidR="00D94BE5">
        <w:t>, which obviously introduces more signalling overhead and therefore longer latency if the first few capability information transmission(s) w</w:t>
      </w:r>
      <w:r w:rsidR="00A65E60">
        <w:t>ere</w:t>
      </w:r>
      <w:r w:rsidR="00D94BE5">
        <w:t xml:space="preserve"> not received correctly. In addition</w:t>
      </w:r>
      <w:r w:rsidR="00BA640D">
        <w:t>,</w:t>
      </w:r>
      <w:r>
        <w:t xml:space="preserve"> </w:t>
      </w:r>
      <w:r w:rsidR="00BA640D">
        <w:t xml:space="preserve">one-way approach </w:t>
      </w:r>
      <w:r w:rsidR="005C5F7A">
        <w:t>may result in inefficient operation</w:t>
      </w:r>
      <w:r w:rsidR="00C0617C">
        <w:t xml:space="preserve"> (e.g. in terms of the size)</w:t>
      </w:r>
      <w:r w:rsidR="005C5F7A">
        <w:t xml:space="preserve"> if </w:t>
      </w:r>
      <w:r w:rsidR="00C0617C">
        <w:t>always the full set of</w:t>
      </w:r>
      <w:r w:rsidR="005C5F7A">
        <w:t xml:space="preserve"> capabilities </w:t>
      </w:r>
      <w:r w:rsidR="00C0617C">
        <w:t xml:space="preserve">is sent. </w:t>
      </w:r>
    </w:p>
    <w:p w14:paraId="6FD3C43A" w14:textId="2E6C9539" w:rsidR="00C0617C" w:rsidRDefault="00C0617C" w:rsidP="00EF6BF7">
      <w:pPr>
        <w:jc w:val="both"/>
      </w:pPr>
      <w:r>
        <w:fldChar w:fldCharType="begin"/>
      </w:r>
      <w:r>
        <w:instrText xml:space="preserve"> REF _Ref12633369 \h </w:instrText>
      </w:r>
      <w:r w:rsidR="00EF6BF7">
        <w:instrText xml:space="preserve"> \* MERGEFORMAT </w:instrText>
      </w:r>
      <w:r>
        <w:fldChar w:fldCharType="separate"/>
      </w:r>
      <w:r>
        <w:t xml:space="preserve">Fig. </w:t>
      </w:r>
      <w:r>
        <w:rPr>
          <w:noProof/>
        </w:rPr>
        <w:t>2</w:t>
      </w:r>
      <w:r>
        <w:fldChar w:fldCharType="end"/>
      </w:r>
      <w:r>
        <w:t xml:space="preserve"> presents the alternative approach, where each capability transfer is initiated by</w:t>
      </w:r>
      <w:r w:rsidR="00FE4F62">
        <w:t xml:space="preserve"> the enquiry message which may specify which capabilities are to be transferred. The increased latency</w:t>
      </w:r>
      <w:r w:rsidR="00BA640D">
        <w:t xml:space="preserve"> was considered as the main challenge issue for the two-way approach</w:t>
      </w:r>
      <w:r w:rsidR="00043202">
        <w:t>. This,</w:t>
      </w:r>
      <w:r w:rsidR="00FE4F62">
        <w:t xml:space="preserve"> however, may not be </w:t>
      </w:r>
      <w:r w:rsidR="0084396E">
        <w:t>real issue</w:t>
      </w:r>
      <w:r w:rsidR="00FE4F62">
        <w:t xml:space="preserve"> </w:t>
      </w:r>
      <w:r w:rsidR="00D2127C">
        <w:t xml:space="preserve">when </w:t>
      </w:r>
      <w:r w:rsidR="0084396E">
        <w:t>comparing with one-way approach of multiple repetitions for reliable delivery of capability information as discussed above</w:t>
      </w:r>
      <w:r w:rsidR="00FE4F62">
        <w:t>.</w:t>
      </w:r>
      <w:r w:rsidR="009F4540">
        <w:t xml:space="preserve"> In addition, two-way procedure follows the usual </w:t>
      </w:r>
      <w:r w:rsidR="0084396E">
        <w:t xml:space="preserve">RRC signalling </w:t>
      </w:r>
      <w:r w:rsidR="00043202">
        <w:t>steps, where</w:t>
      </w:r>
      <w:r w:rsidR="009F4540">
        <w:t xml:space="preserve"> th</w:t>
      </w:r>
      <w:r w:rsidR="00043202">
        <w:t>e</w:t>
      </w:r>
      <w:r w:rsidR="009F4540">
        <w:t xml:space="preserve"> capabilities are sent in response to the explicit enquiry.</w:t>
      </w:r>
      <w:r w:rsidR="0084396E">
        <w:t xml:space="preserve"> This helps to ensure the reliable delivery of the capability information on </w:t>
      </w:r>
      <w:r w:rsidR="00D2127C">
        <w:t xml:space="preserve">the </w:t>
      </w:r>
      <w:r w:rsidR="0084396E">
        <w:t>need basis.</w:t>
      </w:r>
    </w:p>
    <w:p w14:paraId="0CC14298" w14:textId="77777777" w:rsidR="002A7790" w:rsidRDefault="00181FC7" w:rsidP="002A7790">
      <w:pPr>
        <w:keepNext/>
        <w:jc w:val="center"/>
      </w:pPr>
      <w:r>
        <w:rPr>
          <w:noProof/>
        </w:rPr>
        <w:object w:dxaOrig="3600" w:dyaOrig="3012" w14:anchorId="3D338D99">
          <v:shape id="对象 6" o:spid="_x0000_i1026" type="#_x0000_t75" style="width:180.3pt;height:165.9pt;mso-position-horizontal-relative:page;mso-position-vertical-relative:page" o:ole="">
            <v:imagedata r:id="rId15" o:title="" cropbottom="6478f"/>
          </v:shape>
          <o:OLEObject Type="Embed" ProgID="Mscgen.Chart" ShapeID="对象 6" DrawAspect="Content" ObjectID="_1631625411" r:id="rId16"/>
        </w:object>
      </w:r>
    </w:p>
    <w:p w14:paraId="28478246" w14:textId="24CB3E15" w:rsidR="00181FC7" w:rsidRPr="00181FC7" w:rsidRDefault="002A7790" w:rsidP="002A7790">
      <w:pPr>
        <w:pStyle w:val="Caption"/>
        <w:jc w:val="center"/>
      </w:pPr>
      <w:bookmarkStart w:id="1" w:name="_Ref12633369"/>
      <w:r>
        <w:t xml:space="preserve">Fig. </w:t>
      </w:r>
      <w:r w:rsidR="00C10B87">
        <w:rPr>
          <w:noProof/>
        </w:rPr>
        <w:fldChar w:fldCharType="begin"/>
      </w:r>
      <w:r w:rsidR="00C10B87">
        <w:rPr>
          <w:noProof/>
        </w:rPr>
        <w:instrText xml:space="preserve"> SEQ Figure \* ARABIC </w:instrText>
      </w:r>
      <w:r w:rsidR="00C10B87">
        <w:rPr>
          <w:noProof/>
        </w:rPr>
        <w:fldChar w:fldCharType="separate"/>
      </w:r>
      <w:r>
        <w:rPr>
          <w:noProof/>
        </w:rPr>
        <w:t>2</w:t>
      </w:r>
      <w:r w:rsidR="00C10B87">
        <w:rPr>
          <w:noProof/>
        </w:rPr>
        <w:fldChar w:fldCharType="end"/>
      </w:r>
      <w:bookmarkEnd w:id="1"/>
      <w:r>
        <w:t>: Two-way capability transfer [2]</w:t>
      </w:r>
    </w:p>
    <w:p w14:paraId="474A72CC" w14:textId="0BBAEDBB" w:rsidR="00D431FB" w:rsidRDefault="00F85A49" w:rsidP="00C05874">
      <w:pPr>
        <w:jc w:val="both"/>
      </w:pPr>
      <w:r>
        <w:t xml:space="preserve">At RAN2#106 it has been tentatively decided to adopt both solutions, as no clear majority </w:t>
      </w:r>
      <w:r w:rsidR="002E73D5">
        <w:t>favoured</w:t>
      </w:r>
      <w:r>
        <w:t xml:space="preserve"> any of these options.</w:t>
      </w:r>
      <w:r w:rsidR="00184C8B">
        <w:t xml:space="preserve"> It may sound as the proper compromise (</w:t>
      </w:r>
      <w:r w:rsidR="002E73D5">
        <w:t xml:space="preserve">i.e. </w:t>
      </w:r>
      <w:r w:rsidR="00184C8B">
        <w:t xml:space="preserve">making everybody equally unhappy), but it poses additional complexity to the </w:t>
      </w:r>
      <w:r w:rsidR="002E73D5">
        <w:t xml:space="preserve">NR </w:t>
      </w:r>
      <w:r w:rsidR="00184C8B">
        <w:t xml:space="preserve">specification </w:t>
      </w:r>
      <w:r w:rsidR="002E73D5">
        <w:t>with respect to</w:t>
      </w:r>
      <w:r w:rsidR="007211BF">
        <w:t xml:space="preserve"> the criteria for selecting one method or the other</w:t>
      </w:r>
      <w:r w:rsidR="0084396E">
        <w:t xml:space="preserve"> as well as UE implementation as UE needs to implement both approaches</w:t>
      </w:r>
      <w:r w:rsidR="007211BF">
        <w:t>.</w:t>
      </w:r>
      <w:r w:rsidR="00C05874">
        <w:t xml:space="preserve"> </w:t>
      </w:r>
    </w:p>
    <w:p w14:paraId="69347FEC" w14:textId="266AEA1A" w:rsidR="00D431FB" w:rsidRPr="00013152" w:rsidRDefault="00D431FB" w:rsidP="00C05874">
      <w:pPr>
        <w:jc w:val="both"/>
        <w:rPr>
          <w:b/>
        </w:rPr>
      </w:pPr>
      <w:r w:rsidRPr="00013152">
        <w:rPr>
          <w:b/>
        </w:rPr>
        <w:t xml:space="preserve">Observation 1: </w:t>
      </w:r>
      <w:r w:rsidR="00013152" w:rsidRPr="00013152">
        <w:rPr>
          <w:b/>
        </w:rPr>
        <w:t>Adopting both solutions is a compromise, but resulting in UE implementation and 3GPP specification complexity.</w:t>
      </w:r>
    </w:p>
    <w:p w14:paraId="19A8714D" w14:textId="77777777" w:rsidR="00013152" w:rsidRDefault="00C05874" w:rsidP="00C05874">
      <w:pPr>
        <w:jc w:val="both"/>
      </w:pPr>
      <w:r>
        <w:t xml:space="preserve">As most companies identify the latency as the main differentiating factor between these two options, </w:t>
      </w:r>
      <w:r w:rsidR="00D24EF1">
        <w:t xml:space="preserve">checking latency constraints for choosing one or the other approach could be the simplest solution here. Nevertheless, this implies the PC5 UE always checks the list of V2X services, extracts latency related parameters (such as Packet Delay Budget, PDB), compares it with the threshold (fixed in the specification or NW-configurable) and only afterwards decides which method to apply. Additionally, one can easily imagine </w:t>
      </w:r>
      <w:r w:rsidR="00923A40">
        <w:t xml:space="preserve">a pair of unicast UEs having multiple V2X services to exchange, with different latency restrictions. Another rule would be needed then, to specify what is </w:t>
      </w:r>
      <w:proofErr w:type="gramStart"/>
      <w:r w:rsidR="00923A40">
        <w:t>taken into account</w:t>
      </w:r>
      <w:proofErr w:type="gramEnd"/>
      <w:r w:rsidR="00923A40">
        <w:t xml:space="preserve"> in such scenario.</w:t>
      </w:r>
    </w:p>
    <w:p w14:paraId="27D2B05B" w14:textId="1866962C" w:rsidR="00181FC7" w:rsidRPr="00013152" w:rsidRDefault="00013152" w:rsidP="00C05874">
      <w:pPr>
        <w:jc w:val="both"/>
        <w:rPr>
          <w:b/>
        </w:rPr>
      </w:pPr>
      <w:r w:rsidRPr="00013152">
        <w:rPr>
          <w:b/>
        </w:rPr>
        <w:t>Observation 2: Latency constraints of V2X service to be sent via unicast sidelink can be the decisive factor which solution to apply for PC5 capability transfer. However, the list of related open points is long.</w:t>
      </w:r>
      <w:r w:rsidR="00923A40" w:rsidRPr="00013152">
        <w:rPr>
          <w:b/>
        </w:rPr>
        <w:t xml:space="preserve"> </w:t>
      </w:r>
    </w:p>
    <w:p w14:paraId="0E8A7CF0" w14:textId="486E80C7" w:rsidR="00923A40" w:rsidRDefault="00923A40" w:rsidP="00C05874">
      <w:pPr>
        <w:jc w:val="both"/>
      </w:pPr>
      <w:r>
        <w:t>The complexities described above and the limited time RAN2 has for completing this Rel-16 work item ma</w:t>
      </w:r>
      <w:r w:rsidR="002E73D5">
        <w:t>k</w:t>
      </w:r>
      <w:r>
        <w:t>e us think that the optimal approach would be to stick to single solution (i.e. not to confirm the working assumption made at RAN2#106). Thus, we suggest to follow the two-way approach for capability transfer</w:t>
      </w:r>
      <w:r w:rsidR="00D2127C">
        <w:t xml:space="preserve"> based on our discussion on the latency and reliability issue of the two approaches</w:t>
      </w:r>
      <w:r>
        <w:t>.</w:t>
      </w:r>
    </w:p>
    <w:p w14:paraId="0D446AA1" w14:textId="2AE614E1" w:rsidR="00923A40" w:rsidRDefault="00923A40" w:rsidP="00C05874">
      <w:pPr>
        <w:jc w:val="both"/>
        <w:rPr>
          <w:b/>
        </w:rPr>
      </w:pPr>
      <w:r w:rsidRPr="00013152">
        <w:rPr>
          <w:b/>
        </w:rPr>
        <w:t>Proposal</w:t>
      </w:r>
      <w:r w:rsidR="00013152" w:rsidRPr="00013152">
        <w:rPr>
          <w:b/>
        </w:rPr>
        <w:t xml:space="preserve"> 1</w:t>
      </w:r>
      <w:r w:rsidRPr="00013152">
        <w:rPr>
          <w:b/>
        </w:rPr>
        <w:t xml:space="preserve">: </w:t>
      </w:r>
      <w:r w:rsidR="00013152" w:rsidRPr="00013152">
        <w:rPr>
          <w:b/>
        </w:rPr>
        <w:t>RAN2 is asked to revert the working assumption made at RAN2#106 and adopt a single solution (i.e. two-way approach) for PC5 capability exchange between unicast UEs.</w:t>
      </w:r>
    </w:p>
    <w:p w14:paraId="358059A1" w14:textId="2DCFAFA7" w:rsidR="00C15B39" w:rsidRDefault="00C15B39" w:rsidP="00C15B39">
      <w:pPr>
        <w:pStyle w:val="Heading2"/>
      </w:pPr>
      <w:r>
        <w:t>2.2 Discussion on IS/OOS based RLM/RLF detection</w:t>
      </w:r>
      <w:r w:rsidR="00326C2D">
        <w:t xml:space="preserve"> for NR SL</w:t>
      </w:r>
    </w:p>
    <w:p w14:paraId="764AD209" w14:textId="761DB0FB" w:rsidR="00AF73F6" w:rsidRPr="00572BEF" w:rsidRDefault="000A4D95" w:rsidP="00AF73F6">
      <w:pPr>
        <w:spacing w:before="60"/>
        <w:rPr>
          <w:noProof/>
        </w:rPr>
      </w:pPr>
      <w:r>
        <w:rPr>
          <w:noProof/>
        </w:rPr>
        <w:t>During RAN2#106 meeting, the following agreement was made for PC5 RLM/RLF [</w:t>
      </w:r>
      <w:r w:rsidR="00572BEF">
        <w:rPr>
          <w:rFonts w:hint="eastAsia"/>
          <w:noProof/>
          <w:lang w:eastAsia="zh-CN"/>
        </w:rPr>
        <w:t>3</w:t>
      </w:r>
      <w:r w:rsidR="00572BEF" w:rsidRPr="00572BEF">
        <w:rPr>
          <w:noProof/>
          <w:lang w:eastAsia="zh-CN"/>
        </w:rPr>
        <w:t>]:</w:t>
      </w:r>
    </w:p>
    <w:p w14:paraId="2F689E14" w14:textId="77777777" w:rsidR="00AF73F6" w:rsidRPr="000C3C1B" w:rsidRDefault="00AF73F6" w:rsidP="00AF73F6">
      <w:pPr>
        <w:pBdr>
          <w:top w:val="single" w:sz="4" w:space="1" w:color="auto"/>
          <w:left w:val="single" w:sz="4" w:space="4" w:color="auto"/>
          <w:bottom w:val="single" w:sz="4" w:space="1" w:color="auto"/>
          <w:right w:val="single" w:sz="4" w:space="4" w:color="auto"/>
        </w:pBdr>
        <w:tabs>
          <w:tab w:val="left" w:pos="1622"/>
        </w:tabs>
        <w:ind w:left="1622" w:hanging="363"/>
      </w:pPr>
      <w:r w:rsidRPr="000C3C1B">
        <w:t xml:space="preserve">Agreements on </w:t>
      </w:r>
      <w:r w:rsidRPr="000C3C1B">
        <w:rPr>
          <w:noProof/>
        </w:rPr>
        <w:t>PC5 RLM/RLF:</w:t>
      </w:r>
      <w:r w:rsidRPr="000C3C1B">
        <w:t xml:space="preserve"> </w:t>
      </w:r>
    </w:p>
    <w:p w14:paraId="5B853404" w14:textId="77777777" w:rsidR="00AF73F6" w:rsidRPr="000C3C1B" w:rsidRDefault="00AF73F6" w:rsidP="00AF73F6">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0C3C1B">
        <w:t xml:space="preserve">1: </w:t>
      </w:r>
      <w:r w:rsidRPr="000C3C1B">
        <w:tab/>
      </w:r>
      <w:r w:rsidRPr="000C3C1B">
        <w:rPr>
          <w:noProof/>
        </w:rPr>
        <w:t xml:space="preserve">Even though transmission of sidelink signal occur irregularly, </w:t>
      </w:r>
      <w:r w:rsidRPr="00572BEF">
        <w:rPr>
          <w:noProof/>
          <w:highlight w:val="yellow"/>
        </w:rPr>
        <w:t>RAN2 assumes that the physical layer provides periodic indications of IS/OOS to the upper layer as in Uu RLM</w:t>
      </w:r>
      <w:r w:rsidRPr="000C3C1B">
        <w:rPr>
          <w:noProof/>
        </w:rPr>
        <w:t>.</w:t>
      </w:r>
    </w:p>
    <w:p w14:paraId="2029539F" w14:textId="77777777" w:rsidR="00AF73F6" w:rsidRPr="000C3C1B" w:rsidRDefault="00AF73F6" w:rsidP="00AF73F6">
      <w:pPr>
        <w:pBdr>
          <w:top w:val="single" w:sz="4" w:space="1" w:color="auto"/>
          <w:left w:val="single" w:sz="4" w:space="4" w:color="auto"/>
          <w:bottom w:val="single" w:sz="4" w:space="1" w:color="auto"/>
          <w:right w:val="single" w:sz="4" w:space="4" w:color="auto"/>
        </w:pBdr>
        <w:tabs>
          <w:tab w:val="left" w:pos="1622"/>
        </w:tabs>
        <w:ind w:left="1622" w:hanging="363"/>
        <w:rPr>
          <w:noProof/>
        </w:rPr>
      </w:pPr>
      <w:r w:rsidRPr="000C3C1B">
        <w:rPr>
          <w:noProof/>
        </w:rPr>
        <w:t>2:</w:t>
      </w:r>
      <w:r w:rsidRPr="000C3C1B">
        <w:rPr>
          <w:noProof/>
        </w:rPr>
        <w:tab/>
        <w:t>From RAN2 perspective, both side UEs perform RLM/RLF detection mechanism. FFS on whether periodic indications of IS/OOS based RLM/RLF is reused or any additional new mechanism is needed.</w:t>
      </w:r>
    </w:p>
    <w:p w14:paraId="39C4F5AD" w14:textId="77777777" w:rsidR="00326C2D" w:rsidRDefault="00A619FD" w:rsidP="00B53678">
      <w:pPr>
        <w:jc w:val="both"/>
        <w:rPr>
          <w:rFonts w:cs="Arial"/>
          <w:color w:val="000000" w:themeColor="text1"/>
          <w:szCs w:val="22"/>
        </w:rPr>
      </w:pPr>
      <w:r>
        <w:rPr>
          <w:noProof/>
        </w:rPr>
        <w:t>RAN1</w:t>
      </w:r>
      <w:r w:rsidR="009E1B9C">
        <w:rPr>
          <w:noProof/>
        </w:rPr>
        <w:t xml:space="preserve"> has agreed </w:t>
      </w:r>
      <w:r w:rsidR="00285AC5">
        <w:rPr>
          <w:noProof/>
        </w:rPr>
        <w:t xml:space="preserve">not </w:t>
      </w:r>
      <w:r w:rsidR="00285AC5">
        <w:rPr>
          <w:lang w:val="en-US"/>
        </w:rPr>
        <w:t xml:space="preserve">to introduce </w:t>
      </w:r>
      <w:r>
        <w:rPr>
          <w:lang w:val="en-US"/>
        </w:rPr>
        <w:t xml:space="preserve">standalone </w:t>
      </w:r>
      <w:r w:rsidR="00326C2D">
        <w:rPr>
          <w:lang w:val="en-US"/>
        </w:rPr>
        <w:t>reference signals (</w:t>
      </w:r>
      <w:r w:rsidR="00285AC5">
        <w:rPr>
          <w:lang w:val="en-US"/>
        </w:rPr>
        <w:t>RS</w:t>
      </w:r>
      <w:r w:rsidR="00326C2D">
        <w:rPr>
          <w:lang w:val="en-US"/>
        </w:rPr>
        <w:t>s)</w:t>
      </w:r>
      <w:r w:rsidR="00285AC5">
        <w:rPr>
          <w:lang w:val="en-US"/>
        </w:rPr>
        <w:t xml:space="preserve"> transmitted in a periodic manner only for SL RLM purposes</w:t>
      </w:r>
      <w:r w:rsidR="00285AC5">
        <w:rPr>
          <w:rFonts w:cs="Arial"/>
          <w:color w:val="000000" w:themeColor="text1"/>
          <w:szCs w:val="22"/>
        </w:rPr>
        <w:t>. Therefore, RAN1 discussed the issue on how to handle</w:t>
      </w:r>
      <w:r w:rsidR="00326C2D">
        <w:rPr>
          <w:rFonts w:cs="Arial"/>
          <w:color w:val="000000" w:themeColor="text1"/>
          <w:szCs w:val="22"/>
        </w:rPr>
        <w:t xml:space="preserve"> it</w:t>
      </w:r>
      <w:r w:rsidR="00285AC5">
        <w:rPr>
          <w:rFonts w:cs="Arial"/>
          <w:color w:val="000000" w:themeColor="text1"/>
          <w:szCs w:val="22"/>
        </w:rPr>
        <w:t xml:space="preserve"> if there is no RLM measurement in RLM indication period</w:t>
      </w:r>
      <w:r w:rsidR="00326C2D">
        <w:rPr>
          <w:rFonts w:cs="Arial"/>
          <w:color w:val="000000" w:themeColor="text1"/>
          <w:szCs w:val="22"/>
        </w:rPr>
        <w:t>s</w:t>
      </w:r>
      <w:r w:rsidR="00285AC5">
        <w:rPr>
          <w:rFonts w:cs="Arial"/>
          <w:color w:val="000000" w:themeColor="text1"/>
          <w:szCs w:val="22"/>
        </w:rPr>
        <w:t xml:space="preserve"> due to no </w:t>
      </w:r>
      <w:r>
        <w:rPr>
          <w:rFonts w:cs="Arial"/>
          <w:color w:val="000000" w:themeColor="text1"/>
          <w:szCs w:val="22"/>
        </w:rPr>
        <w:t xml:space="preserve">SL </w:t>
      </w:r>
      <w:r w:rsidR="00285AC5">
        <w:rPr>
          <w:rFonts w:cs="Arial"/>
          <w:color w:val="000000" w:themeColor="text1"/>
          <w:szCs w:val="22"/>
        </w:rPr>
        <w:t xml:space="preserve">data to send from the SL Tx UE. </w:t>
      </w:r>
    </w:p>
    <w:p w14:paraId="3DA9875E" w14:textId="11C12569" w:rsidR="00FF3764" w:rsidRDefault="00FF3764" w:rsidP="00B53678">
      <w:pPr>
        <w:jc w:val="both"/>
        <w:rPr>
          <w:rFonts w:cs="Arial"/>
          <w:color w:val="000000" w:themeColor="text1"/>
          <w:szCs w:val="22"/>
          <w:lang w:eastAsia="zh-CN"/>
        </w:rPr>
      </w:pPr>
      <w:r>
        <w:rPr>
          <w:rFonts w:cs="Arial"/>
          <w:color w:val="000000" w:themeColor="text1"/>
          <w:szCs w:val="22"/>
        </w:rPr>
        <w:t xml:space="preserve">RAN1 has discussed that no indication to upper layer is also part of periodic IS/OOS, where no indication case may happen differently from NR </w:t>
      </w:r>
      <w:proofErr w:type="spellStart"/>
      <w:r>
        <w:rPr>
          <w:rFonts w:cs="Arial"/>
          <w:color w:val="000000" w:themeColor="text1"/>
          <w:szCs w:val="22"/>
        </w:rPr>
        <w:t>Uu</w:t>
      </w:r>
      <w:proofErr w:type="spellEnd"/>
      <w:r>
        <w:rPr>
          <w:rFonts w:cs="Arial"/>
          <w:color w:val="000000" w:themeColor="text1"/>
          <w:szCs w:val="22"/>
        </w:rPr>
        <w:t xml:space="preserve"> [4].</w:t>
      </w:r>
      <w:r w:rsidR="00D50751">
        <w:rPr>
          <w:rFonts w:cs="Arial"/>
          <w:color w:val="000000" w:themeColor="text1"/>
          <w:szCs w:val="22"/>
        </w:rPr>
        <w:t xml:space="preserve"> </w:t>
      </w:r>
      <w:r>
        <w:rPr>
          <w:rFonts w:cs="Arial"/>
          <w:color w:val="000000" w:themeColor="text1"/>
          <w:szCs w:val="22"/>
          <w:lang w:eastAsia="zh-CN"/>
        </w:rPr>
        <w:t>RAN1 didn’t manage to conclude the details on “no indication”. There are several options proposed to address the case when there is no periodic IS/OOS along with the data/SCI from the SL Tx UE:</w:t>
      </w:r>
    </w:p>
    <w:p w14:paraId="2BBAF166" w14:textId="5291C37E" w:rsidR="00FF3764" w:rsidRDefault="006F53EA" w:rsidP="00FF3764">
      <w:pPr>
        <w:pStyle w:val="ListParagraph"/>
        <w:numPr>
          <w:ilvl w:val="0"/>
          <w:numId w:val="9"/>
        </w:numPr>
        <w:spacing w:after="0"/>
        <w:jc w:val="both"/>
        <w:rPr>
          <w:rFonts w:cs="Arial"/>
          <w:color w:val="000000" w:themeColor="text1"/>
          <w:szCs w:val="22"/>
          <w:lang w:eastAsia="zh-CN"/>
        </w:rPr>
      </w:pPr>
      <w:r>
        <w:rPr>
          <w:rFonts w:cs="Arial"/>
          <w:color w:val="000000" w:themeColor="text1"/>
          <w:szCs w:val="22"/>
          <w:lang w:eastAsia="zh-CN"/>
        </w:rPr>
        <w:t xml:space="preserve">O#1: </w:t>
      </w:r>
      <w:r w:rsidR="00FF3764">
        <w:rPr>
          <w:rFonts w:cs="Arial"/>
          <w:color w:val="000000" w:themeColor="text1"/>
          <w:szCs w:val="22"/>
          <w:lang w:eastAsia="zh-CN"/>
        </w:rPr>
        <w:t>new indication “no sync” from PHY layer to higher layers/L2</w:t>
      </w:r>
    </w:p>
    <w:p w14:paraId="3DCB9E23" w14:textId="6A086437" w:rsidR="00FF3764" w:rsidRDefault="006F53EA" w:rsidP="00FF3764">
      <w:pPr>
        <w:pStyle w:val="ListParagraph"/>
        <w:numPr>
          <w:ilvl w:val="0"/>
          <w:numId w:val="9"/>
        </w:numPr>
        <w:spacing w:after="0"/>
        <w:jc w:val="both"/>
        <w:rPr>
          <w:rFonts w:cs="Arial"/>
          <w:color w:val="000000" w:themeColor="text1"/>
          <w:szCs w:val="22"/>
          <w:lang w:eastAsia="zh-CN"/>
        </w:rPr>
      </w:pPr>
      <w:r>
        <w:rPr>
          <w:rFonts w:cs="Arial"/>
          <w:color w:val="000000" w:themeColor="text1"/>
          <w:szCs w:val="22"/>
          <w:lang w:eastAsia="zh-CN"/>
        </w:rPr>
        <w:t xml:space="preserve">O#2: </w:t>
      </w:r>
      <w:r w:rsidR="00FF3764">
        <w:rPr>
          <w:rFonts w:cs="Arial"/>
          <w:color w:val="000000" w:themeColor="text1"/>
          <w:szCs w:val="22"/>
          <w:lang w:eastAsia="zh-CN"/>
        </w:rPr>
        <w:t xml:space="preserve">indicate nothing </w:t>
      </w:r>
      <w:r>
        <w:rPr>
          <w:rFonts w:cs="Arial"/>
          <w:color w:val="000000" w:themeColor="text1"/>
          <w:szCs w:val="22"/>
          <w:lang w:eastAsia="zh-CN"/>
        </w:rPr>
        <w:t xml:space="preserve">from PHY layer </w:t>
      </w:r>
    </w:p>
    <w:p w14:paraId="477E7483" w14:textId="5711970F" w:rsidR="00FF3764" w:rsidRDefault="006F53EA" w:rsidP="00FF3764">
      <w:pPr>
        <w:pStyle w:val="ListParagraph"/>
        <w:numPr>
          <w:ilvl w:val="0"/>
          <w:numId w:val="9"/>
        </w:numPr>
        <w:spacing w:after="0"/>
        <w:jc w:val="both"/>
        <w:rPr>
          <w:rFonts w:cs="Arial"/>
          <w:color w:val="000000" w:themeColor="text1"/>
          <w:szCs w:val="22"/>
          <w:lang w:eastAsia="zh-CN"/>
        </w:rPr>
      </w:pPr>
      <w:r>
        <w:rPr>
          <w:rFonts w:cs="Arial"/>
          <w:color w:val="000000" w:themeColor="text1"/>
          <w:szCs w:val="22"/>
          <w:lang w:eastAsia="zh-CN"/>
        </w:rPr>
        <w:t xml:space="preserve">O#3: </w:t>
      </w:r>
      <w:r w:rsidR="00FF3764">
        <w:rPr>
          <w:rFonts w:cs="Arial"/>
          <w:color w:val="000000" w:themeColor="text1"/>
          <w:szCs w:val="22"/>
          <w:lang w:eastAsia="zh-CN"/>
        </w:rPr>
        <w:t>indicate OOS</w:t>
      </w:r>
      <w:r>
        <w:rPr>
          <w:rFonts w:cs="Arial"/>
          <w:color w:val="000000" w:themeColor="text1"/>
          <w:szCs w:val="22"/>
          <w:lang w:eastAsia="zh-CN"/>
        </w:rPr>
        <w:t xml:space="preserve"> from PHY layer</w:t>
      </w:r>
    </w:p>
    <w:p w14:paraId="5948B096" w14:textId="000DFBC3" w:rsidR="00FF3764" w:rsidRDefault="006F53EA" w:rsidP="00FF3764">
      <w:pPr>
        <w:pStyle w:val="ListParagraph"/>
        <w:numPr>
          <w:ilvl w:val="0"/>
          <w:numId w:val="9"/>
        </w:numPr>
        <w:spacing w:after="0"/>
        <w:jc w:val="both"/>
        <w:rPr>
          <w:rFonts w:cs="Arial"/>
          <w:color w:val="000000" w:themeColor="text1"/>
          <w:szCs w:val="22"/>
          <w:lang w:eastAsia="zh-CN"/>
        </w:rPr>
      </w:pPr>
      <w:r>
        <w:rPr>
          <w:rFonts w:cs="Arial"/>
          <w:color w:val="000000" w:themeColor="text1"/>
          <w:szCs w:val="22"/>
          <w:lang w:eastAsia="zh-CN"/>
        </w:rPr>
        <w:t xml:space="preserve">O#4: </w:t>
      </w:r>
      <w:r w:rsidR="00FF3764">
        <w:rPr>
          <w:rFonts w:cs="Arial"/>
          <w:color w:val="000000" w:themeColor="text1"/>
          <w:szCs w:val="22"/>
          <w:lang w:eastAsia="zh-CN"/>
        </w:rPr>
        <w:t>assume that there is always enough traffic, so ignore this case</w:t>
      </w:r>
    </w:p>
    <w:p w14:paraId="54AB5304" w14:textId="3900E64F" w:rsidR="00FF3764" w:rsidRDefault="006F53EA" w:rsidP="00FF3764">
      <w:pPr>
        <w:pStyle w:val="ListParagraph"/>
        <w:numPr>
          <w:ilvl w:val="0"/>
          <w:numId w:val="9"/>
        </w:numPr>
        <w:spacing w:after="0"/>
        <w:jc w:val="both"/>
        <w:rPr>
          <w:rFonts w:cs="Arial"/>
          <w:color w:val="000000" w:themeColor="text1"/>
          <w:szCs w:val="22"/>
          <w:lang w:eastAsia="zh-CN"/>
        </w:rPr>
      </w:pPr>
      <w:r>
        <w:rPr>
          <w:rFonts w:cs="Arial"/>
          <w:color w:val="000000" w:themeColor="text1"/>
          <w:szCs w:val="22"/>
          <w:lang w:eastAsia="zh-CN"/>
        </w:rPr>
        <w:t xml:space="preserve">O#5: </w:t>
      </w:r>
      <w:r w:rsidR="00FF3764">
        <w:rPr>
          <w:rFonts w:cs="Arial"/>
          <w:color w:val="000000" w:themeColor="text1"/>
          <w:szCs w:val="22"/>
          <w:lang w:eastAsia="zh-CN"/>
        </w:rPr>
        <w:t xml:space="preserve">assume that L2 can trigger periodic </w:t>
      </w:r>
      <w:r>
        <w:rPr>
          <w:rFonts w:cs="Arial"/>
          <w:color w:val="000000" w:themeColor="text1"/>
          <w:szCs w:val="22"/>
          <w:lang w:eastAsia="zh-CN"/>
        </w:rPr>
        <w:t>SL control/data transmission</w:t>
      </w:r>
      <w:r w:rsidR="00FF3764">
        <w:rPr>
          <w:rFonts w:cs="Arial"/>
          <w:color w:val="000000" w:themeColor="text1"/>
          <w:szCs w:val="22"/>
          <w:lang w:eastAsia="zh-CN"/>
        </w:rPr>
        <w:t xml:space="preserve"> if they really want periodic sync status</w:t>
      </w:r>
    </w:p>
    <w:p w14:paraId="6C79D041" w14:textId="651CBAFA" w:rsidR="00AF73F6" w:rsidRDefault="00B53678" w:rsidP="00285AC5">
      <w:pPr>
        <w:spacing w:before="60"/>
        <w:jc w:val="both"/>
        <w:rPr>
          <w:rFonts w:cs="Arial"/>
          <w:color w:val="000000" w:themeColor="text1"/>
          <w:szCs w:val="22"/>
          <w:lang w:eastAsia="zh-CN"/>
        </w:rPr>
      </w:pPr>
      <w:r>
        <w:rPr>
          <w:rFonts w:cs="Arial"/>
          <w:color w:val="000000" w:themeColor="text1"/>
          <w:szCs w:val="22"/>
          <w:lang w:eastAsia="zh-CN"/>
        </w:rPr>
        <w:t xml:space="preserve">Option of indicating nothing is </w:t>
      </w:r>
      <w:r w:rsidR="00326C2D">
        <w:rPr>
          <w:rFonts w:cs="Arial"/>
          <w:color w:val="000000" w:themeColor="text1"/>
          <w:szCs w:val="22"/>
          <w:lang w:eastAsia="zh-CN"/>
        </w:rPr>
        <w:t xml:space="preserve">in </w:t>
      </w:r>
      <w:r>
        <w:rPr>
          <w:rFonts w:cs="Arial"/>
          <w:color w:val="000000" w:themeColor="text1"/>
          <w:szCs w:val="22"/>
          <w:lang w:eastAsia="zh-CN"/>
        </w:rPr>
        <w:t>conflict with RAN2 assumption that PHY layer provides periodic indication</w:t>
      </w:r>
      <w:r w:rsidR="006441B8">
        <w:rPr>
          <w:rFonts w:cs="Arial"/>
          <w:color w:val="000000" w:themeColor="text1"/>
          <w:szCs w:val="22"/>
          <w:lang w:eastAsia="zh-CN"/>
        </w:rPr>
        <w:t>s</w:t>
      </w:r>
      <w:r>
        <w:rPr>
          <w:rFonts w:cs="Arial"/>
          <w:color w:val="000000" w:themeColor="text1"/>
          <w:szCs w:val="22"/>
          <w:lang w:eastAsia="zh-CN"/>
        </w:rPr>
        <w:t>. Option of indicating OOS may cause unnecessary RLF</w:t>
      </w:r>
      <w:r w:rsidR="006441B8">
        <w:rPr>
          <w:rFonts w:cs="Arial"/>
          <w:color w:val="000000" w:themeColor="text1"/>
          <w:szCs w:val="22"/>
          <w:lang w:eastAsia="zh-CN"/>
        </w:rPr>
        <w:t xml:space="preserve"> triggering</w:t>
      </w:r>
      <w:r>
        <w:rPr>
          <w:rFonts w:cs="Arial"/>
          <w:color w:val="000000" w:themeColor="text1"/>
          <w:szCs w:val="22"/>
          <w:lang w:eastAsia="zh-CN"/>
        </w:rPr>
        <w:t xml:space="preserve"> due to lack of SL data transmission. The other option of assuming always enough traffic and ignoring the case may not work well for aperiodic traffic, which </w:t>
      </w:r>
      <w:r w:rsidR="00D63F5C">
        <w:rPr>
          <w:rFonts w:cs="Arial"/>
          <w:color w:val="000000" w:themeColor="text1"/>
          <w:szCs w:val="22"/>
          <w:lang w:eastAsia="zh-CN"/>
        </w:rPr>
        <w:t>would be a typical</w:t>
      </w:r>
      <w:r>
        <w:rPr>
          <w:rFonts w:cs="Arial"/>
          <w:color w:val="000000" w:themeColor="text1"/>
          <w:szCs w:val="22"/>
          <w:lang w:eastAsia="zh-CN"/>
        </w:rPr>
        <w:t xml:space="preserve"> traffic characteristic for some V2X services. And the option of assuming L2 triggering periodic SL control</w:t>
      </w:r>
      <w:r w:rsidR="00A619FD">
        <w:rPr>
          <w:rFonts w:cs="Arial"/>
          <w:color w:val="000000" w:themeColor="text1"/>
          <w:szCs w:val="22"/>
          <w:lang w:eastAsia="zh-CN"/>
        </w:rPr>
        <w:t xml:space="preserve"> or user plane data </w:t>
      </w:r>
      <w:r>
        <w:rPr>
          <w:rFonts w:cs="Arial"/>
          <w:color w:val="000000" w:themeColor="text1"/>
          <w:szCs w:val="22"/>
          <w:lang w:eastAsia="zh-CN"/>
        </w:rPr>
        <w:t>transmission</w:t>
      </w:r>
      <w:r w:rsidR="001B23D4">
        <w:rPr>
          <w:rFonts w:cs="Arial"/>
          <w:color w:val="000000" w:themeColor="text1"/>
          <w:szCs w:val="22"/>
          <w:lang w:eastAsia="zh-CN"/>
        </w:rPr>
        <w:t xml:space="preserve"> should be discussed in RAN2 whether it is preferred option or not. </w:t>
      </w:r>
      <w:r w:rsidR="00D63F5C">
        <w:rPr>
          <w:rFonts w:cs="Arial"/>
          <w:color w:val="000000" w:themeColor="text1"/>
          <w:szCs w:val="22"/>
          <w:lang w:eastAsia="zh-CN"/>
        </w:rPr>
        <w:t>Please note, t</w:t>
      </w:r>
      <w:r w:rsidR="007660DE">
        <w:rPr>
          <w:rFonts w:cs="Arial"/>
          <w:color w:val="000000" w:themeColor="text1"/>
          <w:szCs w:val="22"/>
          <w:lang w:eastAsia="zh-CN"/>
        </w:rPr>
        <w:t>his</w:t>
      </w:r>
      <w:r w:rsidR="001B23D4">
        <w:rPr>
          <w:rFonts w:cs="Arial"/>
          <w:color w:val="000000" w:themeColor="text1"/>
          <w:szCs w:val="22"/>
          <w:lang w:eastAsia="zh-CN"/>
        </w:rPr>
        <w:t xml:space="preserve"> may</w:t>
      </w:r>
      <w:r>
        <w:rPr>
          <w:rFonts w:cs="Arial"/>
          <w:color w:val="000000" w:themeColor="text1"/>
          <w:szCs w:val="22"/>
          <w:lang w:eastAsia="zh-CN"/>
        </w:rPr>
        <w:t xml:space="preserve"> introduce unnecessary SL transmissio</w:t>
      </w:r>
      <w:r w:rsidR="001B23D4">
        <w:rPr>
          <w:rFonts w:cs="Arial"/>
          <w:color w:val="000000" w:themeColor="text1"/>
          <w:szCs w:val="22"/>
          <w:lang w:eastAsia="zh-CN"/>
        </w:rPr>
        <w:t>n</w:t>
      </w:r>
      <w:r>
        <w:rPr>
          <w:rFonts w:cs="Arial"/>
          <w:color w:val="000000" w:themeColor="text1"/>
          <w:szCs w:val="22"/>
          <w:lang w:eastAsia="zh-CN"/>
        </w:rPr>
        <w:t xml:space="preserve"> </w:t>
      </w:r>
      <w:r w:rsidR="007660DE">
        <w:rPr>
          <w:rFonts w:cs="Arial"/>
          <w:color w:val="000000" w:themeColor="text1"/>
          <w:szCs w:val="22"/>
          <w:lang w:eastAsia="zh-CN"/>
        </w:rPr>
        <w:t xml:space="preserve">only for SL link quality measurement </w:t>
      </w:r>
      <w:proofErr w:type="gramStart"/>
      <w:r>
        <w:rPr>
          <w:rFonts w:cs="Arial"/>
          <w:color w:val="000000" w:themeColor="text1"/>
          <w:szCs w:val="22"/>
          <w:lang w:eastAsia="zh-CN"/>
        </w:rPr>
        <w:t>and also</w:t>
      </w:r>
      <w:proofErr w:type="gramEnd"/>
      <w:r>
        <w:rPr>
          <w:rFonts w:cs="Arial"/>
          <w:color w:val="000000" w:themeColor="text1"/>
          <w:szCs w:val="22"/>
          <w:lang w:eastAsia="zh-CN"/>
        </w:rPr>
        <w:t xml:space="preserve"> </w:t>
      </w:r>
      <w:r w:rsidR="007660DE">
        <w:rPr>
          <w:rFonts w:cs="Arial"/>
          <w:color w:val="000000" w:themeColor="text1"/>
          <w:szCs w:val="22"/>
          <w:lang w:eastAsia="zh-CN"/>
        </w:rPr>
        <w:t xml:space="preserve">bring </w:t>
      </w:r>
      <w:r>
        <w:rPr>
          <w:rFonts w:cs="Arial"/>
          <w:color w:val="000000" w:themeColor="text1"/>
          <w:szCs w:val="22"/>
          <w:lang w:eastAsia="zh-CN"/>
        </w:rPr>
        <w:t xml:space="preserve">the complexity in L2 to trigger </w:t>
      </w:r>
      <w:r w:rsidR="001B23D4">
        <w:rPr>
          <w:rFonts w:cs="Arial"/>
          <w:color w:val="000000" w:themeColor="text1"/>
          <w:szCs w:val="22"/>
          <w:lang w:eastAsia="zh-CN"/>
        </w:rPr>
        <w:t>such periodic SL transmission</w:t>
      </w:r>
      <w:r>
        <w:rPr>
          <w:rFonts w:cs="Arial"/>
          <w:color w:val="000000" w:themeColor="text1"/>
          <w:szCs w:val="22"/>
          <w:lang w:eastAsia="zh-CN"/>
        </w:rPr>
        <w:t xml:space="preserve">. </w:t>
      </w:r>
    </w:p>
    <w:p w14:paraId="2AA22D86" w14:textId="72E92F9E" w:rsidR="001B23D4" w:rsidRPr="001B23D4" w:rsidRDefault="001B23D4" w:rsidP="00285AC5">
      <w:pPr>
        <w:spacing w:before="60"/>
        <w:jc w:val="both"/>
        <w:rPr>
          <w:rFonts w:cs="Arial"/>
          <w:b/>
          <w:color w:val="000000" w:themeColor="text1"/>
          <w:szCs w:val="22"/>
        </w:rPr>
      </w:pPr>
      <w:r w:rsidRPr="001B23D4">
        <w:rPr>
          <w:rFonts w:cs="Arial"/>
          <w:b/>
          <w:color w:val="000000" w:themeColor="text1"/>
          <w:szCs w:val="22"/>
          <w:lang w:eastAsia="zh-CN"/>
        </w:rPr>
        <w:t>Proposal 2: RAN2 is asked to discuss whether triggering periodic SL control/</w:t>
      </w:r>
      <w:r w:rsidR="007660DE">
        <w:rPr>
          <w:rFonts w:cs="Arial"/>
          <w:b/>
          <w:color w:val="000000" w:themeColor="text1"/>
          <w:szCs w:val="22"/>
          <w:lang w:eastAsia="zh-CN"/>
        </w:rPr>
        <w:t xml:space="preserve">user plane </w:t>
      </w:r>
      <w:r w:rsidRPr="001B23D4">
        <w:rPr>
          <w:rFonts w:cs="Arial"/>
          <w:b/>
          <w:color w:val="000000" w:themeColor="text1"/>
          <w:szCs w:val="22"/>
          <w:lang w:eastAsia="zh-CN"/>
        </w:rPr>
        <w:t xml:space="preserve">data transmission is </w:t>
      </w:r>
      <w:r w:rsidR="00D63F5C">
        <w:rPr>
          <w:rFonts w:cs="Arial"/>
          <w:b/>
          <w:color w:val="000000" w:themeColor="text1"/>
          <w:szCs w:val="22"/>
          <w:lang w:eastAsia="zh-CN"/>
        </w:rPr>
        <w:t xml:space="preserve">a </w:t>
      </w:r>
      <w:r w:rsidRPr="001B23D4">
        <w:rPr>
          <w:rFonts w:cs="Arial"/>
          <w:b/>
          <w:color w:val="000000" w:themeColor="text1"/>
          <w:szCs w:val="22"/>
          <w:lang w:eastAsia="zh-CN"/>
        </w:rPr>
        <w:t>preferred option to allow PHY layer to provide periodic IS/OOS.</w:t>
      </w:r>
    </w:p>
    <w:p w14:paraId="2A70ED9C" w14:textId="27F2D5E9" w:rsidR="00FF3764" w:rsidRDefault="001B23D4" w:rsidP="00285AC5">
      <w:pPr>
        <w:spacing w:before="60"/>
        <w:jc w:val="both"/>
        <w:rPr>
          <w:rFonts w:cs="Arial"/>
          <w:color w:val="000000" w:themeColor="text1"/>
          <w:szCs w:val="22"/>
        </w:rPr>
      </w:pPr>
      <w:r>
        <w:rPr>
          <w:rFonts w:cs="Arial"/>
          <w:color w:val="000000" w:themeColor="text1"/>
          <w:szCs w:val="22"/>
        </w:rPr>
        <w:t>If RAN2 doesn’t want to support periodic SL transmission triggered by radio L2</w:t>
      </w:r>
      <w:r w:rsidR="007660DE">
        <w:rPr>
          <w:rFonts w:cs="Arial"/>
          <w:color w:val="000000" w:themeColor="text1"/>
          <w:szCs w:val="22"/>
        </w:rPr>
        <w:t xml:space="preserve"> for SL link quality measurement only</w:t>
      </w:r>
      <w:r>
        <w:rPr>
          <w:rFonts w:cs="Arial"/>
          <w:color w:val="000000" w:themeColor="text1"/>
          <w:szCs w:val="22"/>
        </w:rPr>
        <w:t>, the option of introducing “no sync” indication from PHY layer should be the way forward. In this case, RAN2 need</w:t>
      </w:r>
      <w:r w:rsidR="00A619FD">
        <w:rPr>
          <w:rFonts w:cs="Arial"/>
          <w:color w:val="000000" w:themeColor="text1"/>
          <w:szCs w:val="22"/>
        </w:rPr>
        <w:t>s</w:t>
      </w:r>
      <w:r>
        <w:rPr>
          <w:rFonts w:cs="Arial"/>
          <w:color w:val="000000" w:themeColor="text1"/>
          <w:szCs w:val="22"/>
        </w:rPr>
        <w:t xml:space="preserve"> to discuss the SL RLM/RLF mechanism based on 3 states (IS/OOS/”no sync”) periodic indication from PHY layer.</w:t>
      </w:r>
    </w:p>
    <w:p w14:paraId="59AD5215" w14:textId="1A3DE955" w:rsidR="005419EE" w:rsidRPr="00A619FD" w:rsidRDefault="001B23D4" w:rsidP="00A619FD">
      <w:pPr>
        <w:spacing w:before="60"/>
        <w:jc w:val="both"/>
        <w:rPr>
          <w:b/>
        </w:rPr>
      </w:pPr>
      <w:r w:rsidRPr="00A619FD">
        <w:rPr>
          <w:rFonts w:cs="Arial"/>
          <w:b/>
          <w:color w:val="000000" w:themeColor="text1"/>
          <w:szCs w:val="22"/>
        </w:rPr>
        <w:t>Proposal 3: RA</w:t>
      </w:r>
      <w:r w:rsidR="00A619FD" w:rsidRPr="00A619FD">
        <w:rPr>
          <w:rFonts w:cs="Arial"/>
          <w:b/>
          <w:color w:val="000000" w:themeColor="text1"/>
          <w:szCs w:val="22"/>
        </w:rPr>
        <w:t>N2 is asked to discuss SL RLM/RLF detection mechanism based on IS/OOS/”no sync” indication from PHY layer if RAN2 agree</w:t>
      </w:r>
      <w:r w:rsidR="00B6472A">
        <w:rPr>
          <w:rFonts w:cs="Arial"/>
          <w:b/>
          <w:color w:val="000000" w:themeColor="text1"/>
          <w:szCs w:val="22"/>
        </w:rPr>
        <w:t>s</w:t>
      </w:r>
      <w:r w:rsidR="00A619FD" w:rsidRPr="00A619FD">
        <w:rPr>
          <w:rFonts w:cs="Arial"/>
          <w:b/>
          <w:color w:val="000000" w:themeColor="text1"/>
          <w:szCs w:val="22"/>
        </w:rPr>
        <w:t xml:space="preserve"> not to support periodic SL transmission triggered by radio L2</w:t>
      </w:r>
      <w:r w:rsidR="00B6472A">
        <w:rPr>
          <w:rFonts w:cs="Arial"/>
          <w:b/>
          <w:color w:val="000000" w:themeColor="text1"/>
          <w:szCs w:val="22"/>
        </w:rPr>
        <w:t xml:space="preserve"> for link quality alone</w:t>
      </w:r>
      <w:r w:rsidR="00A619FD" w:rsidRPr="00A619FD">
        <w:rPr>
          <w:rFonts w:cs="Arial"/>
          <w:b/>
          <w:color w:val="000000" w:themeColor="text1"/>
          <w:szCs w:val="22"/>
        </w:rPr>
        <w:t>.</w:t>
      </w:r>
    </w:p>
    <w:p w14:paraId="5FF2457F" w14:textId="30F24FD2" w:rsidR="00A209D6" w:rsidRPr="006E13D1" w:rsidRDefault="00924277" w:rsidP="00A209D6">
      <w:pPr>
        <w:pStyle w:val="Heading1"/>
      </w:pPr>
      <w:r>
        <w:t>3</w:t>
      </w:r>
      <w:r w:rsidR="00A209D6" w:rsidRPr="006E13D1">
        <w:tab/>
      </w:r>
      <w:r w:rsidR="008C3057">
        <w:t>Conclusion</w:t>
      </w:r>
    </w:p>
    <w:p w14:paraId="6C60FFDC" w14:textId="53548430" w:rsidR="00A209D6" w:rsidRDefault="00924277" w:rsidP="00BB6EDD">
      <w:pPr>
        <w:jc w:val="both"/>
      </w:pPr>
      <w:r>
        <w:t xml:space="preserve">This paper </w:t>
      </w:r>
      <w:r w:rsidR="00A619FD">
        <w:t>discusses the issues related to PC5 control plane in term of PC5 UE capability transfer and SL RLM/</w:t>
      </w:r>
      <w:proofErr w:type="gramStart"/>
      <w:r w:rsidR="00A619FD">
        <w:t xml:space="preserve">RLF </w:t>
      </w:r>
      <w:r>
        <w:t>.</w:t>
      </w:r>
      <w:proofErr w:type="gramEnd"/>
      <w:r>
        <w:t xml:space="preserve"> The following observations and proposals have been made:</w:t>
      </w:r>
    </w:p>
    <w:p w14:paraId="6E0598C1" w14:textId="77777777" w:rsidR="00013152" w:rsidRPr="00013152" w:rsidRDefault="00013152" w:rsidP="00013152">
      <w:pPr>
        <w:jc w:val="both"/>
        <w:rPr>
          <w:b/>
        </w:rPr>
      </w:pPr>
      <w:r w:rsidRPr="00013152">
        <w:rPr>
          <w:b/>
        </w:rPr>
        <w:t>Observation 1: Adopting both solutions is a compromise, but resulting in UE implementation and 3GPP specification complexity.</w:t>
      </w:r>
    </w:p>
    <w:p w14:paraId="1C237E2E" w14:textId="77777777" w:rsidR="00013152" w:rsidRPr="00013152" w:rsidRDefault="00013152" w:rsidP="00013152">
      <w:pPr>
        <w:jc w:val="both"/>
        <w:rPr>
          <w:b/>
        </w:rPr>
      </w:pPr>
      <w:r w:rsidRPr="00013152">
        <w:rPr>
          <w:b/>
        </w:rPr>
        <w:t xml:space="preserve">Observation 2: Latency constraints of V2X service to be sent via unicast sidelink can be the decisive factor which solution to apply for PC5 capability transfer. However, the list of related open points is long. </w:t>
      </w:r>
    </w:p>
    <w:p w14:paraId="71422E7D" w14:textId="6C6018F9" w:rsidR="00013152" w:rsidRDefault="00013152" w:rsidP="00BB6EDD">
      <w:pPr>
        <w:jc w:val="both"/>
        <w:rPr>
          <w:b/>
        </w:rPr>
      </w:pPr>
      <w:r w:rsidRPr="00013152">
        <w:rPr>
          <w:b/>
        </w:rPr>
        <w:t>Proposal 1: RAN2 is asked to revert the working assumption made at RAN2#106 and adopt a single solution (i.e. two-way approach) for PC5 capability exchange between unicast UEs.</w:t>
      </w:r>
    </w:p>
    <w:p w14:paraId="1A440569" w14:textId="74FCCBE3" w:rsidR="00A619FD" w:rsidRPr="001B23D4" w:rsidRDefault="00A619FD" w:rsidP="00A619FD">
      <w:pPr>
        <w:spacing w:before="60"/>
        <w:jc w:val="both"/>
        <w:rPr>
          <w:rFonts w:cs="Arial"/>
          <w:b/>
          <w:color w:val="000000" w:themeColor="text1"/>
          <w:szCs w:val="22"/>
        </w:rPr>
      </w:pPr>
      <w:r w:rsidRPr="001B23D4">
        <w:rPr>
          <w:rFonts w:cs="Arial"/>
          <w:b/>
          <w:color w:val="000000" w:themeColor="text1"/>
          <w:szCs w:val="22"/>
          <w:lang w:eastAsia="zh-CN"/>
        </w:rPr>
        <w:t>Proposal 2: RAN2 is asked to discuss whether triggering periodic SL control/</w:t>
      </w:r>
      <w:r w:rsidR="007660DE">
        <w:rPr>
          <w:rFonts w:cs="Arial"/>
          <w:b/>
          <w:color w:val="000000" w:themeColor="text1"/>
          <w:szCs w:val="22"/>
          <w:lang w:eastAsia="zh-CN"/>
        </w:rPr>
        <w:t xml:space="preserve">user plane </w:t>
      </w:r>
      <w:r w:rsidRPr="001B23D4">
        <w:rPr>
          <w:rFonts w:cs="Arial"/>
          <w:b/>
          <w:color w:val="000000" w:themeColor="text1"/>
          <w:szCs w:val="22"/>
          <w:lang w:eastAsia="zh-CN"/>
        </w:rPr>
        <w:t>data transmission is preferred option to allow PHY layer to provide periodic IS/OOS.</w:t>
      </w:r>
    </w:p>
    <w:p w14:paraId="3DAB0C1B" w14:textId="4C1FB171" w:rsidR="00A619FD" w:rsidRPr="00013152" w:rsidRDefault="00A619FD" w:rsidP="00BB6EDD">
      <w:pPr>
        <w:jc w:val="both"/>
        <w:rPr>
          <w:b/>
        </w:rPr>
      </w:pPr>
      <w:r w:rsidRPr="00A619FD">
        <w:rPr>
          <w:rFonts w:cs="Arial"/>
          <w:b/>
          <w:color w:val="000000" w:themeColor="text1"/>
          <w:szCs w:val="22"/>
        </w:rPr>
        <w:t>Proposal 3: RAN2 is asked to discuss SL RLM/RLF detection mechanism based on IS/OOS/”no sync” indication from PHY layer if RAN2 agreed not to support periodic SL transmission triggered by radio L2</w:t>
      </w:r>
      <w:r w:rsidR="00B6472A" w:rsidRPr="00B6472A">
        <w:rPr>
          <w:rFonts w:cs="Arial"/>
          <w:b/>
          <w:color w:val="000000" w:themeColor="text1"/>
          <w:szCs w:val="22"/>
        </w:rPr>
        <w:t xml:space="preserve"> </w:t>
      </w:r>
      <w:r w:rsidR="00B6472A">
        <w:rPr>
          <w:rFonts w:cs="Arial"/>
          <w:b/>
          <w:color w:val="000000" w:themeColor="text1"/>
          <w:szCs w:val="22"/>
        </w:rPr>
        <w:t>for link quality alone</w:t>
      </w:r>
      <w:r w:rsidRPr="00A619FD">
        <w:rPr>
          <w:rFonts w:cs="Arial"/>
          <w:b/>
          <w:color w:val="000000" w:themeColor="text1"/>
          <w:szCs w:val="22"/>
        </w:rPr>
        <w:t>.</w:t>
      </w:r>
    </w:p>
    <w:p w14:paraId="432B0A82" w14:textId="476EBFC8" w:rsidR="00A209D6" w:rsidRDefault="00B61B92" w:rsidP="00B61B92">
      <w:pPr>
        <w:pStyle w:val="Heading1"/>
      </w:pPr>
      <w:r>
        <w:t>References</w:t>
      </w:r>
    </w:p>
    <w:p w14:paraId="31F1850F" w14:textId="153C72DE" w:rsidR="002A5627" w:rsidRDefault="00B61B92" w:rsidP="00EB1D67">
      <w:pPr>
        <w:pStyle w:val="ListParagraph"/>
        <w:numPr>
          <w:ilvl w:val="0"/>
          <w:numId w:val="8"/>
        </w:numPr>
      </w:pPr>
      <w:bookmarkStart w:id="2" w:name="_Ref12434618"/>
      <w:r w:rsidRPr="00B61B92">
        <w:t>R2-190810</w:t>
      </w:r>
      <w:r w:rsidR="003B1F5F">
        <w:t>7</w:t>
      </w:r>
      <w:r>
        <w:t xml:space="preserve"> </w:t>
      </w:r>
      <w:r w:rsidR="003B1F5F" w:rsidRPr="003B1F5F">
        <w:rPr>
          <w:i/>
        </w:rPr>
        <w:t>Report from session on LTE V2X and NR V2X</w:t>
      </w:r>
      <w:r>
        <w:t xml:space="preserve"> 3GPP TSG-RAN WG2 Meeting #106, Reno, USA, 13th – 17th of May 2019</w:t>
      </w:r>
      <w:bookmarkEnd w:id="2"/>
    </w:p>
    <w:p w14:paraId="35F222F4" w14:textId="21D05DFF" w:rsidR="00080512" w:rsidRDefault="00186ADB" w:rsidP="001C6549">
      <w:pPr>
        <w:pStyle w:val="ListParagraph"/>
        <w:numPr>
          <w:ilvl w:val="0"/>
          <w:numId w:val="8"/>
        </w:numPr>
      </w:pPr>
      <w:bookmarkStart w:id="3" w:name="_Ref12632661"/>
      <w:r>
        <w:t xml:space="preserve">R2-1905585 </w:t>
      </w:r>
      <w:r w:rsidRPr="00EB1571">
        <w:rPr>
          <w:i/>
        </w:rPr>
        <w:t>Summary of [105bis#32] PC5-RRC signalling</w:t>
      </w:r>
      <w:r>
        <w:t xml:space="preserve"> 3GPP TSG-RAN WG2 Meeting #106, Reno, USA, 13th – 17th of May 2019</w:t>
      </w:r>
      <w:bookmarkEnd w:id="3"/>
    </w:p>
    <w:p w14:paraId="51B2CF49" w14:textId="542D2A8F" w:rsidR="00572BEF" w:rsidRPr="0017652B" w:rsidRDefault="00572BEF" w:rsidP="001C6549">
      <w:pPr>
        <w:pStyle w:val="ListParagraph"/>
        <w:numPr>
          <w:ilvl w:val="0"/>
          <w:numId w:val="8"/>
        </w:numPr>
      </w:pPr>
      <w:r>
        <w:rPr>
          <w:rFonts w:hint="eastAsia"/>
          <w:lang w:eastAsia="zh-CN"/>
        </w:rPr>
        <w:t>R</w:t>
      </w:r>
      <w:r w:rsidR="006B701D">
        <w:rPr>
          <w:lang w:eastAsia="zh-CN"/>
        </w:rPr>
        <w:t>2</w:t>
      </w:r>
      <w:r w:rsidRPr="00572BEF">
        <w:rPr>
          <w:lang w:eastAsia="zh-CN"/>
        </w:rPr>
        <w:t xml:space="preserve">-1908601 </w:t>
      </w:r>
      <w:r w:rsidRPr="000C3C1B">
        <w:rPr>
          <w:rFonts w:cs="Arial"/>
        </w:rPr>
        <w:t>Report of 3GPP TSG RAN2#106 meeting,</w:t>
      </w:r>
      <w:bookmarkStart w:id="4" w:name="_GoBack"/>
      <w:bookmarkEnd w:id="4"/>
      <w:r w:rsidRPr="000C3C1B">
        <w:rPr>
          <w:rFonts w:cs="Arial"/>
        </w:rPr>
        <w:t xml:space="preserve"> Reno, USA</w:t>
      </w:r>
    </w:p>
    <w:p w14:paraId="1A1586DA" w14:textId="620AB7EB" w:rsidR="0017652B" w:rsidRPr="00FF3764" w:rsidRDefault="00FF3764" w:rsidP="00541ABA">
      <w:pPr>
        <w:pStyle w:val="ListParagraph"/>
        <w:numPr>
          <w:ilvl w:val="0"/>
          <w:numId w:val="8"/>
        </w:numPr>
      </w:pPr>
      <w:r w:rsidRPr="00FF3764">
        <w:rPr>
          <w:lang w:val="en-US"/>
        </w:rPr>
        <w:t xml:space="preserve">R1-1909530 </w:t>
      </w:r>
      <w:r>
        <w:rPr>
          <w:lang w:val="en-US"/>
        </w:rPr>
        <w:t>Feature Lead Summary #1 for NR-V2X AI – 7.2.4.8 Others</w:t>
      </w:r>
    </w:p>
    <w:sectPr w:rsidR="0017652B" w:rsidRPr="00FF3764" w:rsidSect="00692182">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A0EE34" w14:textId="77777777" w:rsidR="00D17F6B" w:rsidRDefault="00D17F6B">
      <w:r>
        <w:separator/>
      </w:r>
    </w:p>
  </w:endnote>
  <w:endnote w:type="continuationSeparator" w:id="0">
    <w:p w14:paraId="7BCEB583" w14:textId="77777777" w:rsidR="00D17F6B" w:rsidRDefault="00D17F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EE"/>
    <w:family w:val="swiss"/>
    <w:pitch w:val="variable"/>
    <w:sig w:usb0="E0002E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FEA039" w14:textId="77777777" w:rsidR="00D17F6B" w:rsidRDefault="00D17F6B">
      <w:r>
        <w:separator/>
      </w:r>
    </w:p>
  </w:footnote>
  <w:footnote w:type="continuationSeparator" w:id="0">
    <w:p w14:paraId="3D04EBFC" w14:textId="77777777" w:rsidR="00D17F6B" w:rsidRDefault="00D17F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EA3537B"/>
    <w:multiLevelType w:val="hybridMultilevel"/>
    <w:tmpl w:val="E99CAFE2"/>
    <w:lvl w:ilvl="0" w:tplc="F518594A">
      <w:start w:val="1"/>
      <w:numFmt w:val="decimal"/>
      <w:lvlText w:val="[%1]"/>
      <w:lvlJc w:val="left"/>
      <w:pPr>
        <w:ind w:left="357" w:hanging="357"/>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779314FD"/>
    <w:multiLevelType w:val="hybridMultilevel"/>
    <w:tmpl w:val="E4D673DA"/>
    <w:lvl w:ilvl="0" w:tplc="040B0001">
      <w:start w:val="1"/>
      <w:numFmt w:val="bullet"/>
      <w:lvlText w:val=""/>
      <w:lvlJc w:val="left"/>
      <w:pPr>
        <w:ind w:left="1080" w:hanging="360"/>
      </w:pPr>
      <w:rPr>
        <w:rFonts w:ascii="Symbol" w:hAnsi="Symbol"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3152"/>
    <w:rsid w:val="00016557"/>
    <w:rsid w:val="00023C40"/>
    <w:rsid w:val="00033397"/>
    <w:rsid w:val="00040095"/>
    <w:rsid w:val="00043202"/>
    <w:rsid w:val="00073C9C"/>
    <w:rsid w:val="00074875"/>
    <w:rsid w:val="00080512"/>
    <w:rsid w:val="00090468"/>
    <w:rsid w:val="00092808"/>
    <w:rsid w:val="00094568"/>
    <w:rsid w:val="000A4D95"/>
    <w:rsid w:val="000B7BCF"/>
    <w:rsid w:val="000C522B"/>
    <w:rsid w:val="000D1A4F"/>
    <w:rsid w:val="000D58AB"/>
    <w:rsid w:val="00112F1A"/>
    <w:rsid w:val="00123A5C"/>
    <w:rsid w:val="00145075"/>
    <w:rsid w:val="001741A0"/>
    <w:rsid w:val="00175FA0"/>
    <w:rsid w:val="0017652B"/>
    <w:rsid w:val="00181FC7"/>
    <w:rsid w:val="00184C8B"/>
    <w:rsid w:val="00186ADB"/>
    <w:rsid w:val="00187754"/>
    <w:rsid w:val="00194CD0"/>
    <w:rsid w:val="001A2F48"/>
    <w:rsid w:val="001B23D4"/>
    <w:rsid w:val="001B49C9"/>
    <w:rsid w:val="001C23F4"/>
    <w:rsid w:val="001C4F79"/>
    <w:rsid w:val="001F168B"/>
    <w:rsid w:val="001F4043"/>
    <w:rsid w:val="001F7831"/>
    <w:rsid w:val="00204045"/>
    <w:rsid w:val="0020712B"/>
    <w:rsid w:val="002137BA"/>
    <w:rsid w:val="0022606D"/>
    <w:rsid w:val="00231728"/>
    <w:rsid w:val="00235A09"/>
    <w:rsid w:val="00247034"/>
    <w:rsid w:val="00250404"/>
    <w:rsid w:val="002610D8"/>
    <w:rsid w:val="002747EC"/>
    <w:rsid w:val="002855BF"/>
    <w:rsid w:val="00285AC5"/>
    <w:rsid w:val="002A5627"/>
    <w:rsid w:val="002A7790"/>
    <w:rsid w:val="002E73D5"/>
    <w:rsid w:val="002F0D22"/>
    <w:rsid w:val="003071FF"/>
    <w:rsid w:val="003172DC"/>
    <w:rsid w:val="00325AE3"/>
    <w:rsid w:val="00326069"/>
    <w:rsid w:val="00326C2D"/>
    <w:rsid w:val="0035462D"/>
    <w:rsid w:val="00364B41"/>
    <w:rsid w:val="00365AAF"/>
    <w:rsid w:val="0036701C"/>
    <w:rsid w:val="003819B2"/>
    <w:rsid w:val="00383096"/>
    <w:rsid w:val="003A41EF"/>
    <w:rsid w:val="003B1F5F"/>
    <w:rsid w:val="003B40AD"/>
    <w:rsid w:val="003C4E37"/>
    <w:rsid w:val="003E16BE"/>
    <w:rsid w:val="003E2726"/>
    <w:rsid w:val="003F0C8F"/>
    <w:rsid w:val="003F4E28"/>
    <w:rsid w:val="004006E8"/>
    <w:rsid w:val="00401855"/>
    <w:rsid w:val="00435479"/>
    <w:rsid w:val="00455F30"/>
    <w:rsid w:val="00465587"/>
    <w:rsid w:val="00477455"/>
    <w:rsid w:val="004A1F7B"/>
    <w:rsid w:val="004C44D2"/>
    <w:rsid w:val="004D3578"/>
    <w:rsid w:val="004D380D"/>
    <w:rsid w:val="004E213A"/>
    <w:rsid w:val="004E21E3"/>
    <w:rsid w:val="00503171"/>
    <w:rsid w:val="00506C28"/>
    <w:rsid w:val="00534DA0"/>
    <w:rsid w:val="005419EE"/>
    <w:rsid w:val="00543E6C"/>
    <w:rsid w:val="00565087"/>
    <w:rsid w:val="0056573F"/>
    <w:rsid w:val="00566654"/>
    <w:rsid w:val="00572BEF"/>
    <w:rsid w:val="005A4E31"/>
    <w:rsid w:val="005C5F7A"/>
    <w:rsid w:val="00611566"/>
    <w:rsid w:val="00641B64"/>
    <w:rsid w:val="006441B8"/>
    <w:rsid w:val="00646D99"/>
    <w:rsid w:val="00656910"/>
    <w:rsid w:val="00692182"/>
    <w:rsid w:val="006B701D"/>
    <w:rsid w:val="006C66D8"/>
    <w:rsid w:val="006D1E24"/>
    <w:rsid w:val="006E1417"/>
    <w:rsid w:val="006E26B8"/>
    <w:rsid w:val="006F53EA"/>
    <w:rsid w:val="006F6A2C"/>
    <w:rsid w:val="007069DC"/>
    <w:rsid w:val="00710201"/>
    <w:rsid w:val="0072073A"/>
    <w:rsid w:val="007211BF"/>
    <w:rsid w:val="007342B5"/>
    <w:rsid w:val="00734A5B"/>
    <w:rsid w:val="00744E76"/>
    <w:rsid w:val="00757D40"/>
    <w:rsid w:val="007660DE"/>
    <w:rsid w:val="00781F0F"/>
    <w:rsid w:val="0078727C"/>
    <w:rsid w:val="0079049D"/>
    <w:rsid w:val="00793DC5"/>
    <w:rsid w:val="007B18D8"/>
    <w:rsid w:val="007C095F"/>
    <w:rsid w:val="007C2DD0"/>
    <w:rsid w:val="007F2E08"/>
    <w:rsid w:val="008028A4"/>
    <w:rsid w:val="00813245"/>
    <w:rsid w:val="008303D5"/>
    <w:rsid w:val="0084396E"/>
    <w:rsid w:val="0086354A"/>
    <w:rsid w:val="00873ECE"/>
    <w:rsid w:val="008768CA"/>
    <w:rsid w:val="00877EF9"/>
    <w:rsid w:val="00880559"/>
    <w:rsid w:val="0088080A"/>
    <w:rsid w:val="00890E91"/>
    <w:rsid w:val="008B5306"/>
    <w:rsid w:val="008C3057"/>
    <w:rsid w:val="008D2E4D"/>
    <w:rsid w:val="008F396F"/>
    <w:rsid w:val="009003AF"/>
    <w:rsid w:val="0090271F"/>
    <w:rsid w:val="00902DB9"/>
    <w:rsid w:val="0090466A"/>
    <w:rsid w:val="00923655"/>
    <w:rsid w:val="00923A40"/>
    <w:rsid w:val="00924277"/>
    <w:rsid w:val="00936071"/>
    <w:rsid w:val="00940212"/>
    <w:rsid w:val="00942EC2"/>
    <w:rsid w:val="00961B32"/>
    <w:rsid w:val="00962509"/>
    <w:rsid w:val="00964449"/>
    <w:rsid w:val="00970DB3"/>
    <w:rsid w:val="00974BB0"/>
    <w:rsid w:val="00975BCD"/>
    <w:rsid w:val="009A0AF3"/>
    <w:rsid w:val="009B07CD"/>
    <w:rsid w:val="009C19E9"/>
    <w:rsid w:val="009D74A6"/>
    <w:rsid w:val="009E1B9C"/>
    <w:rsid w:val="009F4540"/>
    <w:rsid w:val="00A10F02"/>
    <w:rsid w:val="00A204CA"/>
    <w:rsid w:val="00A209D6"/>
    <w:rsid w:val="00A365B3"/>
    <w:rsid w:val="00A53724"/>
    <w:rsid w:val="00A54B2B"/>
    <w:rsid w:val="00A619FD"/>
    <w:rsid w:val="00A65E60"/>
    <w:rsid w:val="00A82346"/>
    <w:rsid w:val="00A9671C"/>
    <w:rsid w:val="00AA1553"/>
    <w:rsid w:val="00AD453E"/>
    <w:rsid w:val="00AF73F6"/>
    <w:rsid w:val="00B05380"/>
    <w:rsid w:val="00B05962"/>
    <w:rsid w:val="00B15449"/>
    <w:rsid w:val="00B16C2F"/>
    <w:rsid w:val="00B27303"/>
    <w:rsid w:val="00B47FD1"/>
    <w:rsid w:val="00B516BB"/>
    <w:rsid w:val="00B53678"/>
    <w:rsid w:val="00B61B92"/>
    <w:rsid w:val="00B6472A"/>
    <w:rsid w:val="00B83309"/>
    <w:rsid w:val="00B84DB2"/>
    <w:rsid w:val="00BA640D"/>
    <w:rsid w:val="00BB6EDD"/>
    <w:rsid w:val="00BC3555"/>
    <w:rsid w:val="00BD49EE"/>
    <w:rsid w:val="00C05874"/>
    <w:rsid w:val="00C0617C"/>
    <w:rsid w:val="00C1083F"/>
    <w:rsid w:val="00C10B87"/>
    <w:rsid w:val="00C12B51"/>
    <w:rsid w:val="00C15B39"/>
    <w:rsid w:val="00C24650"/>
    <w:rsid w:val="00C25465"/>
    <w:rsid w:val="00C33079"/>
    <w:rsid w:val="00C5227C"/>
    <w:rsid w:val="00C66A22"/>
    <w:rsid w:val="00C83A13"/>
    <w:rsid w:val="00C9068C"/>
    <w:rsid w:val="00C92967"/>
    <w:rsid w:val="00CA3D0C"/>
    <w:rsid w:val="00CA654B"/>
    <w:rsid w:val="00CB72B8"/>
    <w:rsid w:val="00CD4C7B"/>
    <w:rsid w:val="00D17F6B"/>
    <w:rsid w:val="00D2127C"/>
    <w:rsid w:val="00D24EF1"/>
    <w:rsid w:val="00D33BE3"/>
    <w:rsid w:val="00D3792D"/>
    <w:rsid w:val="00D431FB"/>
    <w:rsid w:val="00D50751"/>
    <w:rsid w:val="00D55E47"/>
    <w:rsid w:val="00D62E19"/>
    <w:rsid w:val="00D63F5C"/>
    <w:rsid w:val="00D67CD1"/>
    <w:rsid w:val="00D738D6"/>
    <w:rsid w:val="00D80795"/>
    <w:rsid w:val="00D854BE"/>
    <w:rsid w:val="00D87E00"/>
    <w:rsid w:val="00D9134D"/>
    <w:rsid w:val="00D94BE5"/>
    <w:rsid w:val="00D96D11"/>
    <w:rsid w:val="00DA7A03"/>
    <w:rsid w:val="00DB0DB8"/>
    <w:rsid w:val="00DB1818"/>
    <w:rsid w:val="00DC309B"/>
    <w:rsid w:val="00DC4DA2"/>
    <w:rsid w:val="00DC5261"/>
    <w:rsid w:val="00DE25D2"/>
    <w:rsid w:val="00DF3388"/>
    <w:rsid w:val="00E46C08"/>
    <w:rsid w:val="00E471CF"/>
    <w:rsid w:val="00E62835"/>
    <w:rsid w:val="00E77645"/>
    <w:rsid w:val="00E83697"/>
    <w:rsid w:val="00EA66C9"/>
    <w:rsid w:val="00EB1571"/>
    <w:rsid w:val="00EB1D67"/>
    <w:rsid w:val="00EC3144"/>
    <w:rsid w:val="00EC4A25"/>
    <w:rsid w:val="00EF6BF7"/>
    <w:rsid w:val="00F025A2"/>
    <w:rsid w:val="00F036E9"/>
    <w:rsid w:val="00F07388"/>
    <w:rsid w:val="00F1475B"/>
    <w:rsid w:val="00F2026E"/>
    <w:rsid w:val="00F2210A"/>
    <w:rsid w:val="00F37743"/>
    <w:rsid w:val="00F54A3D"/>
    <w:rsid w:val="00F54CB0"/>
    <w:rsid w:val="00F579CD"/>
    <w:rsid w:val="00F653B8"/>
    <w:rsid w:val="00F71B89"/>
    <w:rsid w:val="00F7353C"/>
    <w:rsid w:val="00F76F8F"/>
    <w:rsid w:val="00F85A49"/>
    <w:rsid w:val="00F941DF"/>
    <w:rsid w:val="00FA1266"/>
    <w:rsid w:val="00FB36FA"/>
    <w:rsid w:val="00FC1192"/>
    <w:rsid w:val="00FE251B"/>
    <w:rsid w:val="00FE4F62"/>
    <w:rsid w:val="00FF2184"/>
    <w:rsid w:val="00FF2540"/>
    <w:rsid w:val="00FF3764"/>
    <w:rsid w:val="05573C28"/>
    <w:rsid w:val="111497B6"/>
    <w:rsid w:val="1D16AD69"/>
    <w:rsid w:val="4ED98CE3"/>
    <w:rsid w:val="4F05533B"/>
    <w:rsid w:val="6E746C4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B61B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
    <w:basedOn w:val="Normal"/>
    <w:link w:val="ListParagraphChar"/>
    <w:uiPriority w:val="34"/>
    <w:qFormat/>
    <w:rsid w:val="00B61B92"/>
    <w:pPr>
      <w:ind w:left="720"/>
      <w:contextualSpacing/>
    </w:pPr>
  </w:style>
  <w:style w:type="paragraph" w:styleId="Caption">
    <w:name w:val="caption"/>
    <w:basedOn w:val="Normal"/>
    <w:next w:val="Normal"/>
    <w:unhideWhenUsed/>
    <w:qFormat/>
    <w:rsid w:val="00181FC7"/>
    <w:pPr>
      <w:spacing w:after="200"/>
    </w:pPr>
    <w:rPr>
      <w:i/>
      <w:iCs/>
      <w:color w:val="44546A" w:themeColor="text2"/>
      <w:sz w:val="18"/>
      <w:szCs w:val="18"/>
    </w:rPr>
  </w:style>
  <w:style w:type="character" w:styleId="CommentReference">
    <w:name w:val="annotation reference"/>
    <w:basedOn w:val="DefaultParagraphFont"/>
    <w:rsid w:val="00DF3388"/>
    <w:rPr>
      <w:sz w:val="16"/>
      <w:szCs w:val="16"/>
    </w:rPr>
  </w:style>
  <w:style w:type="paragraph" w:styleId="CommentText">
    <w:name w:val="annotation text"/>
    <w:basedOn w:val="Normal"/>
    <w:link w:val="CommentTextChar"/>
    <w:rsid w:val="00DF3388"/>
  </w:style>
  <w:style w:type="character" w:customStyle="1" w:styleId="CommentTextChar">
    <w:name w:val="Comment Text Char"/>
    <w:basedOn w:val="DefaultParagraphFont"/>
    <w:link w:val="CommentText"/>
    <w:rsid w:val="00DF3388"/>
    <w:rPr>
      <w:lang w:eastAsia="en-US"/>
    </w:rPr>
  </w:style>
  <w:style w:type="paragraph" w:styleId="CommentSubject">
    <w:name w:val="annotation subject"/>
    <w:basedOn w:val="CommentText"/>
    <w:next w:val="CommentText"/>
    <w:link w:val="CommentSubjectChar"/>
    <w:rsid w:val="00DF3388"/>
    <w:rPr>
      <w:b/>
      <w:bCs/>
    </w:rPr>
  </w:style>
  <w:style w:type="character" w:customStyle="1" w:styleId="CommentSubjectChar">
    <w:name w:val="Comment Subject Char"/>
    <w:basedOn w:val="CommentTextChar"/>
    <w:link w:val="CommentSubject"/>
    <w:rsid w:val="00DF3388"/>
    <w:rPr>
      <w:b/>
      <w:bCs/>
      <w:lang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FF376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wmf"/><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5AIRPNAIUNRU-859666464-5630</_dlc_DocId>
    <_dlc_DocIdUrl xmlns="71c5aaf6-e6ce-465b-b873-5148d2a4c105">
      <Url>https://nokia.sharepoint.com/sites/c5g/e2earch/_layouts/15/DocIdRedir.aspx?ID=5AIRPNAIUNRU-859666464-5630</Url>
      <Description>5AIRPNAIUNRU-859666464-5630</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ED1FF41-9130-4FBF-B742-64100F73850B}">
  <ds:schemaRefs>
    <ds:schemaRef ds:uri="http://purl.org/dc/terms/"/>
    <ds:schemaRef ds:uri="a3840f4f-04be-43d1-b2ef-6ff1382503c7"/>
    <ds:schemaRef ds:uri="http://www.w3.org/XML/1998/namespace"/>
    <ds:schemaRef ds:uri="http://schemas.microsoft.com/office/2006/documentManagement/types"/>
    <ds:schemaRef ds:uri="83f22d2f-d16e-4be6-ad4f-29fa0b067c3c"/>
    <ds:schemaRef ds:uri="3b34c8f0-1ef5-4d1e-bb66-517ce7fe7356"/>
    <ds:schemaRef ds:uri="http://purl.org/dc/elements/1.1/"/>
    <ds:schemaRef ds:uri="71c5aaf6-e6ce-465b-b873-5148d2a4c105"/>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4.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5.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6.xml><?xml version="1.0" encoding="utf-8"?>
<ds:datastoreItem xmlns:ds="http://schemas.openxmlformats.org/officeDocument/2006/customXml" ds:itemID="{B369CA8D-87FB-4F6E-A329-4098E4A5E4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1148</TotalTime>
  <Pages>4</Pages>
  <Words>1572</Words>
  <Characters>8561</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10113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Yu, Ling (Nokia - FI/Espoo)</dc:creator>
  <cp:lastModifiedBy>Nokia</cp:lastModifiedBy>
  <cp:revision>15</cp:revision>
  <dcterms:created xsi:type="dcterms:W3CDTF">2019-09-30T11:06:00Z</dcterms:created>
  <dcterms:modified xsi:type="dcterms:W3CDTF">2019-10-03T14:30:00Z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1464b328-d85c-4b72-97be-c0dc86badc9c</vt:lpwstr>
  </property>
</Properties>
</file>